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jc w:val="center"/>
        <w:outlineLvl w:val="0"/>
        <w:rPr>
          <w:rFonts w:ascii="Arial" w:hAnsi="Arial" w:cs="Arial"/>
        </w:rPr>
      </w:pPr>
      <w:r>
        <w:rPr>
          <w:rFonts w:cs="Arial" w:ascii="Arial" w:hAnsi="Arial"/>
        </w:rPr>
        <w:t>Raport końcowy z realizacji projektu informatycznego</w:t>
      </w:r>
    </w:p>
    <w:tbl>
      <w:tblPr>
        <w:tblStyle w:val="Tabela-Siatka"/>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07"/>
        <w:gridCol w:w="1896"/>
        <w:gridCol w:w="7231"/>
      </w:tblGrid>
      <w:tr>
        <w:trPr/>
        <w:tc>
          <w:tcPr>
            <w:tcW w:w="507" w:type="dxa"/>
            <w:tcBorders/>
          </w:tcPr>
          <w:p>
            <w:pPr>
              <w:pStyle w:val="Normal"/>
              <w:widowControl/>
              <w:spacing w:lineRule="auto" w:line="240" w:before="0" w:after="0"/>
              <w:jc w:val="center"/>
              <w:rPr>
                <w:rFonts w:ascii="Arial" w:hAnsi="Arial" w:cs="Arial"/>
                <w:b/>
                <w:b/>
                <w:sz w:val="20"/>
                <w:szCs w:val="20"/>
              </w:rPr>
            </w:pPr>
            <w:r>
              <w:rPr>
                <w:rFonts w:eastAsia="Calibri" w:cs="Arial" w:ascii="Arial" w:hAnsi="Arial"/>
                <w:b/>
                <w:kern w:val="0"/>
                <w:sz w:val="20"/>
                <w:szCs w:val="20"/>
                <w:lang w:val="pl-PL" w:eastAsia="en-US" w:bidi="ar-SA"/>
              </w:rPr>
              <w:t>Lp.</w:t>
            </w:r>
          </w:p>
        </w:tc>
        <w:tc>
          <w:tcPr>
            <w:tcW w:w="1896" w:type="dxa"/>
            <w:tcBorders/>
          </w:tcPr>
          <w:p>
            <w:pPr>
              <w:pStyle w:val="Normal"/>
              <w:widowControl/>
              <w:spacing w:lineRule="auto" w:line="240" w:before="0" w:after="0"/>
              <w:jc w:val="center"/>
              <w:rPr>
                <w:rFonts w:ascii="Arial" w:hAnsi="Arial" w:cs="Arial"/>
                <w:b/>
                <w:b/>
                <w:sz w:val="20"/>
                <w:szCs w:val="20"/>
              </w:rPr>
            </w:pPr>
            <w:r>
              <w:rPr>
                <w:rFonts w:eastAsia="Calibri" w:cs="Arial" w:ascii="Arial" w:hAnsi="Arial"/>
                <w:b/>
                <w:kern w:val="0"/>
                <w:sz w:val="20"/>
                <w:szCs w:val="20"/>
                <w:lang w:val="pl-PL" w:eastAsia="en-US" w:bidi="ar-SA"/>
              </w:rPr>
              <w:t>Wyszczególnienie</w:t>
            </w:r>
          </w:p>
        </w:tc>
        <w:tc>
          <w:tcPr>
            <w:tcW w:w="7231" w:type="dxa"/>
            <w:tcBorders/>
          </w:tcPr>
          <w:p>
            <w:pPr>
              <w:pStyle w:val="Normal"/>
              <w:widowControl/>
              <w:spacing w:lineRule="auto" w:line="240" w:before="0" w:after="0"/>
              <w:jc w:val="center"/>
              <w:rPr>
                <w:rFonts w:ascii="Arial" w:hAnsi="Arial" w:cs="Arial"/>
                <w:b/>
                <w:b/>
                <w:sz w:val="20"/>
                <w:szCs w:val="20"/>
              </w:rPr>
            </w:pPr>
            <w:r>
              <w:rPr>
                <w:rFonts w:eastAsia="Calibri" w:cs="Arial" w:ascii="Arial" w:hAnsi="Arial"/>
                <w:b/>
                <w:kern w:val="0"/>
                <w:sz w:val="20"/>
                <w:szCs w:val="20"/>
                <w:lang w:val="pl-PL" w:eastAsia="en-US" w:bidi="ar-SA"/>
              </w:rPr>
              <w:t>Opis</w:t>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20"/>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20"/>
                <w:szCs w:val="20"/>
              </w:rPr>
            </w:pPr>
            <w:r>
              <w:rPr>
                <w:rFonts w:eastAsia="Calibri" w:cs="Arial" w:ascii="Arial" w:hAnsi="Arial"/>
                <w:kern w:val="0"/>
                <w:sz w:val="20"/>
                <w:szCs w:val="20"/>
                <w:lang w:val="pl-PL" w:eastAsia="en-US" w:bidi="ar-SA"/>
              </w:rPr>
              <w:t>Tytuł projektu</w:t>
            </w:r>
          </w:p>
        </w:tc>
        <w:tc>
          <w:tcPr>
            <w:tcW w:w="7231" w:type="dxa"/>
            <w:tcBorders/>
          </w:tcPr>
          <w:p>
            <w:pPr>
              <w:pStyle w:val="Normal"/>
              <w:widowControl/>
              <w:spacing w:lineRule="auto" w:line="240" w:before="0" w:after="0"/>
              <w:jc w:val="both"/>
              <w:rPr>
                <w:rFonts w:ascii="Arial" w:hAnsi="Arial" w:cs="Arial"/>
                <w:i/>
                <w:i/>
                <w:sz w:val="20"/>
                <w:szCs w:val="20"/>
              </w:rPr>
            </w:pPr>
            <w:r>
              <w:rPr>
                <w:rFonts w:eastAsia="Calibri" w:cs="Arial" w:ascii="Arial" w:hAnsi="Arial"/>
                <w:kern w:val="0"/>
                <w:sz w:val="20"/>
                <w:szCs w:val="20"/>
                <w:lang w:val="pl-PL" w:eastAsia="en-US" w:bidi="ar-SA"/>
              </w:rPr>
              <w:t>Ucyfrowienie zasobów akademickich regionu kujawsko-pomorskiego dla potrzeb nauki i dydaktyki całego kraju</w:t>
            </w:r>
          </w:p>
        </w:tc>
      </w:tr>
      <w:tr>
        <w:trPr>
          <w:trHeight w:val="265" w:hRule="atLeast"/>
        </w:trPr>
        <w:tc>
          <w:tcPr>
            <w:tcW w:w="507" w:type="dxa"/>
            <w:tcBorders/>
          </w:tcPr>
          <w:p>
            <w:pPr>
              <w:pStyle w:val="ListParagraph"/>
              <w:widowControl/>
              <w:numPr>
                <w:ilvl w:val="0"/>
                <w:numId w:val="1"/>
              </w:numPr>
              <w:spacing w:lineRule="auto" w:line="240" w:before="0" w:after="0"/>
              <w:contextualSpacing/>
              <w:jc w:val="left"/>
              <w:rPr>
                <w:rFonts w:ascii="Arial" w:hAnsi="Arial" w:cs="Arial"/>
                <w:sz w:val="20"/>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20"/>
                <w:szCs w:val="20"/>
              </w:rPr>
            </w:pPr>
            <w:r>
              <w:rPr>
                <w:rFonts w:eastAsia="Calibri" w:cs="Arial" w:ascii="Arial" w:hAnsi="Arial"/>
                <w:kern w:val="0"/>
                <w:sz w:val="20"/>
                <w:szCs w:val="20"/>
                <w:lang w:val="pl-PL" w:eastAsia="en-US" w:bidi="ar-SA"/>
              </w:rPr>
              <w:t xml:space="preserve">Beneficjent projektu </w:t>
            </w:r>
          </w:p>
        </w:tc>
        <w:tc>
          <w:tcPr>
            <w:tcW w:w="7231" w:type="dxa"/>
            <w:tcBorders/>
            <w:vAlign w:val="center"/>
          </w:tcPr>
          <w:p>
            <w:pPr>
              <w:pStyle w:val="Normal"/>
              <w:widowControl/>
              <w:spacing w:lineRule="auto" w:line="240" w:before="0" w:after="0"/>
              <w:jc w:val="both"/>
              <w:rPr>
                <w:rFonts w:ascii="Arial" w:hAnsi="Arial" w:cs="Arial"/>
                <w:i/>
                <w:i/>
                <w:sz w:val="20"/>
                <w:szCs w:val="20"/>
              </w:rPr>
            </w:pPr>
            <w:r>
              <w:rPr>
                <w:rFonts w:eastAsia="Calibri" w:cs="Arial" w:ascii="Arial" w:hAnsi="Arial"/>
                <w:kern w:val="0"/>
                <w:sz w:val="20"/>
                <w:szCs w:val="20"/>
                <w:lang w:val="pl-PL" w:eastAsia="en-US" w:bidi="ar-SA"/>
              </w:rPr>
              <w:t>Uniwersytet Mikołaja Kopernika w Toruniu</w:t>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20"/>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20"/>
                <w:szCs w:val="20"/>
              </w:rPr>
            </w:pPr>
            <w:r>
              <w:rPr>
                <w:rFonts w:eastAsia="Calibri" w:cs="Arial" w:ascii="Arial" w:hAnsi="Arial"/>
                <w:kern w:val="0"/>
                <w:sz w:val="20"/>
                <w:szCs w:val="20"/>
                <w:lang w:val="pl-PL" w:eastAsia="en-US" w:bidi="ar-SA"/>
              </w:rPr>
              <w:t xml:space="preserve">Partnerzy </w:t>
            </w:r>
          </w:p>
        </w:tc>
        <w:tc>
          <w:tcPr>
            <w:tcW w:w="7231" w:type="dxa"/>
            <w:tcBorders/>
          </w:tcPr>
          <w:p>
            <w:pPr>
              <w:pStyle w:val="Normal"/>
              <w:widowControl/>
              <w:spacing w:lineRule="auto" w:line="240" w:before="0" w:after="0"/>
              <w:jc w:val="both"/>
              <w:rPr>
                <w:rFonts w:ascii="Arial" w:hAnsi="Arial" w:cs="Arial"/>
                <w:i/>
                <w:i/>
                <w:sz w:val="20"/>
                <w:szCs w:val="20"/>
              </w:rPr>
            </w:pPr>
            <w:r>
              <w:rPr>
                <w:rFonts w:eastAsia="Calibri" w:cs="Arial" w:ascii="Arial" w:hAnsi="Arial"/>
                <w:kern w:val="0"/>
                <w:sz w:val="20"/>
                <w:szCs w:val="20"/>
                <w:lang w:val="pl-PL" w:eastAsia="en-US" w:bidi="ar-SA"/>
              </w:rPr>
              <w:t>Uniwersytet Kazimierza Wielkiego w Bydgoszczy</w:t>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20"/>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both"/>
              <w:rPr>
                <w:rFonts w:ascii="Arial" w:hAnsi="Arial" w:cs="Arial"/>
                <w:sz w:val="20"/>
                <w:szCs w:val="20"/>
              </w:rPr>
            </w:pPr>
            <w:r>
              <w:rPr>
                <w:rFonts w:eastAsia="Calibri" w:cs="Arial" w:ascii="Arial" w:hAnsi="Arial"/>
                <w:kern w:val="0"/>
                <w:sz w:val="20"/>
                <w:szCs w:val="20"/>
                <w:lang w:val="pl-PL" w:eastAsia="en-US" w:bidi="ar-SA"/>
              </w:rPr>
              <w:t>Postęp finansowy</w:t>
            </w:r>
          </w:p>
        </w:tc>
        <w:tc>
          <w:tcPr>
            <w:tcW w:w="7231" w:type="dxa"/>
            <w:tcBorders/>
          </w:tcPr>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Pierwotny planowany koszt realizacji projektu: 4 599 042,05 zł</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Ostatni planowany koszt realizacji projektu: 4 599 042,05 zł</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Zakontraktowana wartość dofinansowania: 4 599 042,05 zł</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Faktyczny koszt projektu to </w:t>
            </w:r>
            <w:r>
              <w:rPr>
                <w:rFonts w:cs="Arial" w:ascii="Arial" w:hAnsi="Arial"/>
                <w:kern w:val="0"/>
                <w:sz w:val="20"/>
                <w:szCs w:val="20"/>
                <w:lang w:val="pl-PL" w:eastAsia="en-US" w:bidi="ar-SA"/>
              </w:rPr>
              <w:t>4 341 480,42 zł.</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Koszty kwalifikowane zarówno pośrednie i bezpośrednie planowano w pierwotnym wniosku 4 599 042,05 zł. Różnica to </w:t>
            </w:r>
            <w:r>
              <w:rPr>
                <w:rFonts w:cs="Arial" w:ascii="Arial" w:hAnsi="Arial"/>
                <w:kern w:val="0"/>
                <w:sz w:val="20"/>
                <w:szCs w:val="20"/>
                <w:lang w:val="pl-PL" w:eastAsia="en-US" w:bidi="ar-SA"/>
              </w:rPr>
              <w:t xml:space="preserve">257 561,63 </w:t>
            </w:r>
            <w:r>
              <w:rPr>
                <w:rFonts w:eastAsia="Arial" w:cs="Arial" w:ascii="Arial" w:hAnsi="Arial"/>
                <w:kern w:val="0"/>
                <w:sz w:val="20"/>
                <w:szCs w:val="20"/>
                <w:lang w:val="pl-PL" w:eastAsia="en-US" w:bidi="ar-SA"/>
              </w:rPr>
              <w:t>zł niewydatkowanych kosztów łącznie. Tym samym o</w:t>
            </w:r>
            <w:r>
              <w:rPr>
                <w:rFonts w:cs="Arial" w:ascii="Arial" w:hAnsi="Arial"/>
                <w:kern w:val="0"/>
                <w:sz w:val="20"/>
                <w:szCs w:val="20"/>
                <w:lang w:val="pl-PL" w:eastAsia="en-US" w:bidi="ar-SA"/>
              </w:rPr>
              <w:t>szczędności wynoszą 257 561,63 zł.</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W projekcie nie było korekt finansowych. Zacertyfikowane kwoty w zatwierdzonych wnioskach o płatność, </w:t>
            </w:r>
            <w:r>
              <w:rPr>
                <w:rFonts w:cs="Arial" w:ascii="Arial" w:hAnsi="Arial"/>
                <w:kern w:val="0"/>
                <w:sz w:val="20"/>
                <w:szCs w:val="20"/>
                <w:lang w:val="pl-PL" w:eastAsia="en-US" w:bidi="ar-SA"/>
              </w:rPr>
              <w:t>4 092 639,86 zł co daje 88,99 % całej wartości wniosku</w:t>
            </w:r>
            <w:r>
              <w:rPr>
                <w:rFonts w:eastAsia="Arial" w:cs="Arial" w:ascii="Arial" w:hAnsi="Arial"/>
                <w:kern w:val="0"/>
                <w:sz w:val="20"/>
                <w:szCs w:val="20"/>
                <w:lang w:val="pl-PL" w:eastAsia="en-US" w:bidi="ar-SA"/>
              </w:rPr>
              <w:t>. Okres kwalifikowalności wydatków dla projektu rozpoczyna się w dniu 12.11.2015 r. i kończy się w dniu 30.09.2021r.</w:t>
            </w:r>
          </w:p>
          <w:p>
            <w:pPr>
              <w:pStyle w:val="Normal"/>
              <w:widowControl/>
              <w:spacing w:lineRule="auto" w:line="240" w:before="0" w:after="0"/>
              <w:jc w:val="both"/>
              <w:rPr>
                <w:rFonts w:ascii="Arial" w:hAnsi="Arial" w:cs="Arial"/>
                <w:i/>
                <w:i/>
                <w:iCs/>
                <w:sz w:val="20"/>
                <w:szCs w:val="20"/>
              </w:rPr>
            </w:pPr>
            <w:r>
              <w:rPr>
                <w:rFonts w:eastAsia="Calibri" w:cs="Arial" w:ascii="Arial" w:hAnsi="Arial"/>
                <w:i/>
                <w:iCs/>
                <w:kern w:val="0"/>
                <w:sz w:val="22"/>
                <w:szCs w:val="22"/>
                <w:lang w:val="pl-PL" w:eastAsia="en-US" w:bidi="ar-SA"/>
              </w:rPr>
            </w:r>
          </w:p>
        </w:tc>
      </w:tr>
      <w:tr>
        <w:trPr>
          <w:trHeight w:val="3818" w:hRule="atLeast"/>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Postęp rzeczowy</w:t>
            </w:r>
          </w:p>
        </w:tc>
        <w:tc>
          <w:tcPr>
            <w:tcW w:w="7231" w:type="dxa"/>
            <w:tcBorders/>
          </w:tcPr>
          <w:p>
            <w:pPr>
              <w:pStyle w:val="Other1"/>
              <w:widowControl w:val="false"/>
              <w:spacing w:before="0" w:after="0"/>
              <w:jc w:val="left"/>
              <w:rPr>
                <w:rFonts w:ascii="Arial" w:hAnsi="Arial" w:cs="Arial"/>
                <w:sz w:val="20"/>
                <w:szCs w:val="20"/>
              </w:rPr>
            </w:pPr>
            <w:r>
              <w:rPr>
                <w:rFonts w:cs="Arial" w:ascii="Arial" w:hAnsi="Arial"/>
                <w:bCs/>
                <w:color w:val="000000"/>
                <w:kern w:val="0"/>
                <w:sz w:val="20"/>
                <w:szCs w:val="20"/>
                <w:lang w:val="pl-PL" w:eastAsia="en-US" w:bidi="ar-SA"/>
              </w:rPr>
              <w:t>Pierwotna planowana data rozpoczęcia realizacji projektu: 01.08.2018r.</w:t>
            </w:r>
          </w:p>
          <w:p>
            <w:pPr>
              <w:pStyle w:val="Other1"/>
              <w:widowControl w:val="false"/>
              <w:spacing w:before="0" w:after="0"/>
              <w:jc w:val="left"/>
              <w:rPr>
                <w:rFonts w:ascii="Arial" w:hAnsi="Arial" w:cs="Arial"/>
                <w:sz w:val="20"/>
                <w:szCs w:val="20"/>
              </w:rPr>
            </w:pPr>
            <w:r>
              <w:rPr>
                <w:rFonts w:cs="Arial" w:ascii="Arial" w:hAnsi="Arial"/>
                <w:bCs/>
                <w:color w:val="000000"/>
                <w:kern w:val="0"/>
                <w:sz w:val="20"/>
                <w:szCs w:val="20"/>
                <w:lang w:val="pl-PL" w:eastAsia="en-US" w:bidi="ar-SA"/>
              </w:rPr>
              <w:t>Ostatnia planowana data rozpoczęcia realizacji projektu: 01.08.2018r.</w:t>
            </w:r>
          </w:p>
          <w:p>
            <w:pPr>
              <w:pStyle w:val="Other1"/>
              <w:widowControl w:val="false"/>
              <w:spacing w:before="0" w:after="0"/>
              <w:jc w:val="left"/>
              <w:rPr>
                <w:rFonts w:ascii="Arial" w:hAnsi="Arial" w:cs="Arial"/>
                <w:sz w:val="20"/>
                <w:szCs w:val="20"/>
              </w:rPr>
            </w:pPr>
            <w:r>
              <w:rPr>
                <w:rFonts w:cs="Arial" w:ascii="Arial" w:hAnsi="Arial"/>
                <w:b/>
                <w:bCs/>
                <w:color w:val="000000"/>
                <w:kern w:val="0"/>
                <w:sz w:val="20"/>
                <w:szCs w:val="20"/>
                <w:lang w:val="pl-PL" w:eastAsia="en-US" w:bidi="ar-SA"/>
              </w:rPr>
              <w:t>Faktyczna data rozpoczęcia realizacji projektu: 01.08.2018r.</w:t>
            </w:r>
          </w:p>
          <w:p>
            <w:pPr>
              <w:pStyle w:val="Other1"/>
              <w:widowControl w:val="false"/>
              <w:spacing w:before="0" w:after="0"/>
              <w:jc w:val="left"/>
              <w:rPr>
                <w:rFonts w:ascii="Arial" w:hAnsi="Arial" w:cs="Arial"/>
                <w:sz w:val="20"/>
                <w:szCs w:val="20"/>
              </w:rPr>
            </w:pPr>
            <w:r>
              <w:rPr>
                <w:rFonts w:cs="Arial" w:ascii="Arial" w:hAnsi="Arial"/>
                <w:bCs/>
                <w:color w:val="000000"/>
                <w:kern w:val="0"/>
                <w:sz w:val="20"/>
                <w:szCs w:val="20"/>
                <w:lang w:val="pl-PL" w:eastAsia="en-US" w:bidi="ar-SA"/>
              </w:rPr>
              <w:t>Pierwotna planowana data zakończenia realizacji projektu: 31.07.2021r.</w:t>
            </w:r>
          </w:p>
          <w:p>
            <w:pPr>
              <w:pStyle w:val="Other1"/>
              <w:widowControl w:val="false"/>
              <w:spacing w:before="0" w:after="0"/>
              <w:jc w:val="left"/>
              <w:rPr>
                <w:rFonts w:ascii="Arial" w:hAnsi="Arial" w:cs="Arial"/>
                <w:sz w:val="20"/>
                <w:szCs w:val="20"/>
              </w:rPr>
            </w:pPr>
            <w:r>
              <w:rPr>
                <w:rFonts w:cs="Arial" w:ascii="Arial" w:hAnsi="Arial"/>
                <w:bCs/>
                <w:color w:val="000000"/>
                <w:kern w:val="0"/>
                <w:sz w:val="20"/>
                <w:szCs w:val="20"/>
                <w:lang w:val="pl-PL" w:eastAsia="en-US" w:bidi="ar-SA"/>
              </w:rPr>
              <w:t>Ostatnia planowana data zakończenia realizacji projektu: 31.07.2021r.</w:t>
            </w:r>
          </w:p>
          <w:p>
            <w:pPr>
              <w:pStyle w:val="Normal"/>
              <w:widowControl/>
              <w:spacing w:lineRule="auto" w:line="240" w:before="0" w:after="0"/>
              <w:jc w:val="both"/>
              <w:rPr>
                <w:rFonts w:ascii="Arial" w:hAnsi="Arial" w:cs="Arial"/>
                <w:b/>
                <w:b/>
                <w:bCs/>
                <w:color w:val="000000"/>
                <w:sz w:val="20"/>
                <w:szCs w:val="20"/>
              </w:rPr>
            </w:pPr>
            <w:r>
              <w:rPr>
                <w:rFonts w:eastAsia="Calibri" w:cs="Arial" w:ascii="Arial" w:hAnsi="Arial"/>
                <w:b/>
                <w:bCs/>
                <w:color w:val="000000"/>
                <w:kern w:val="0"/>
                <w:sz w:val="20"/>
                <w:szCs w:val="20"/>
                <w:lang w:val="pl-PL" w:eastAsia="en-US" w:bidi="ar-SA"/>
              </w:rPr>
              <w:t>Faktyczna data zakończenia realizacji projektu:</w:t>
            </w:r>
            <w:r>
              <w:rPr>
                <w:rFonts w:eastAsia="Calibri" w:cs="Arial" w:ascii="Arial" w:hAnsi="Arial"/>
                <w:bCs/>
                <w:color w:val="000000"/>
                <w:kern w:val="0"/>
                <w:sz w:val="20"/>
                <w:szCs w:val="20"/>
                <w:lang w:val="pl-PL" w:eastAsia="en-US" w:bidi="ar-SA"/>
              </w:rPr>
              <w:t xml:space="preserve"> </w:t>
            </w:r>
            <w:r>
              <w:rPr>
                <w:rFonts w:eastAsia="Calibri" w:cs="Arial" w:ascii="Arial" w:hAnsi="Arial"/>
                <w:b/>
                <w:color w:val="000000"/>
                <w:kern w:val="0"/>
                <w:sz w:val="20"/>
                <w:szCs w:val="20"/>
                <w:lang w:val="pl-PL" w:eastAsia="en-US" w:bidi="ar-SA"/>
              </w:rPr>
              <w:t>31.07.2021r.</w:t>
            </w:r>
          </w:p>
          <w:p>
            <w:pPr>
              <w:pStyle w:val="Normal"/>
              <w:widowControl/>
              <w:spacing w:lineRule="auto" w:line="240" w:before="0" w:after="0"/>
              <w:jc w:val="both"/>
              <w:rPr>
                <w:rFonts w:ascii="Arial" w:hAnsi="Arial" w:cs="Arial"/>
                <w:sz w:val="20"/>
                <w:szCs w:val="20"/>
              </w:rPr>
            </w:pPr>
            <w:r>
              <w:rPr>
                <w:rFonts w:eastAsia="Calibri" w:cs="Arial" w:ascii="Arial" w:hAnsi="Arial"/>
                <w:kern w:val="0"/>
                <w:sz w:val="22"/>
                <w:szCs w:val="22"/>
                <w:lang w:val="pl-PL" w:eastAsia="en-US" w:bidi="ar-SA"/>
              </w:rPr>
            </w:r>
          </w:p>
          <w:p>
            <w:pPr>
              <w:pStyle w:val="Normal"/>
              <w:widowControl/>
              <w:spacing w:lineRule="auto" w:line="240" w:before="0" w:after="0"/>
              <w:jc w:val="both"/>
              <w:rPr>
                <w:rFonts w:ascii="Arial" w:hAnsi="Arial" w:cs="Arial"/>
                <w:sz w:val="20"/>
                <w:szCs w:val="20"/>
              </w:rPr>
            </w:pPr>
            <w:r>
              <w:rPr>
                <w:rFonts w:eastAsia="Calibri" w:cs="Arial" w:ascii="Arial" w:hAnsi="Arial"/>
                <w:kern w:val="0"/>
                <w:sz w:val="20"/>
                <w:szCs w:val="20"/>
                <w:lang w:val="pl-PL" w:eastAsia="en-US" w:bidi="ar-SA"/>
              </w:rPr>
              <w:t>Projekt został zrealizowany we wskazanym zakresie.</w:t>
            </w:r>
          </w:p>
          <w:tbl>
            <w:tblPr>
              <w:tblStyle w:val="Tabela-Siatka"/>
              <w:tblW w:w="712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91"/>
              <w:gridCol w:w="1303"/>
              <w:gridCol w:w="1159"/>
              <w:gridCol w:w="2670"/>
            </w:tblGrid>
            <w:tr>
              <w:trPr/>
              <w:tc>
                <w:tcPr>
                  <w:tcW w:w="1991" w:type="dxa"/>
                  <w:tcBorders/>
                  <w:shd w:color="auto" w:fill="D0CECE" w:themeFill="background2" w:themeFillShade="e6" w:val="clear"/>
                </w:tcPr>
                <w:p>
                  <w:pPr>
                    <w:pStyle w:val="Normal"/>
                    <w:widowControl/>
                    <w:spacing w:lineRule="auto" w:line="240" w:before="0" w:after="0"/>
                    <w:jc w:val="left"/>
                    <w:rPr>
                      <w:rFonts w:ascii="Arial" w:hAnsi="Arial" w:cs="Arial"/>
                      <w:b/>
                      <w:b/>
                      <w:sz w:val="16"/>
                      <w:szCs w:val="16"/>
                    </w:rPr>
                  </w:pPr>
                  <w:r>
                    <w:rPr>
                      <w:rFonts w:eastAsia="Calibri" w:cs="Arial" w:ascii="Arial" w:hAnsi="Arial"/>
                      <w:b/>
                      <w:kern w:val="0"/>
                      <w:sz w:val="16"/>
                      <w:szCs w:val="16"/>
                      <w:lang w:val="pl-PL" w:eastAsia="en-US" w:bidi="ar-SA"/>
                    </w:rPr>
                    <w:t>Nazwa</w:t>
                  </w:r>
                </w:p>
              </w:tc>
              <w:tc>
                <w:tcPr>
                  <w:tcW w:w="1303" w:type="dxa"/>
                  <w:tcBorders/>
                  <w:shd w:color="auto" w:fill="D0CECE" w:themeFill="background2" w:themeFillShade="e6" w:val="clear"/>
                </w:tcPr>
                <w:p>
                  <w:pPr>
                    <w:pStyle w:val="Normal"/>
                    <w:widowControl/>
                    <w:spacing w:lineRule="auto" w:line="240" w:before="0" w:after="0"/>
                    <w:jc w:val="left"/>
                    <w:rPr>
                      <w:rFonts w:ascii="Arial" w:hAnsi="Arial" w:cs="Arial"/>
                      <w:b/>
                      <w:b/>
                      <w:sz w:val="16"/>
                      <w:szCs w:val="16"/>
                    </w:rPr>
                  </w:pPr>
                  <w:r>
                    <w:rPr>
                      <w:rFonts w:eastAsia="Calibri" w:cs="Arial" w:ascii="Arial" w:hAnsi="Arial"/>
                      <w:b/>
                      <w:kern w:val="0"/>
                      <w:sz w:val="16"/>
                      <w:szCs w:val="16"/>
                      <w:lang w:val="pl-PL" w:eastAsia="en-US" w:bidi="ar-SA"/>
                    </w:rPr>
                    <w:t>Planowany termin osiągnięcia</w:t>
                  </w:r>
                </w:p>
              </w:tc>
              <w:tc>
                <w:tcPr>
                  <w:tcW w:w="1159" w:type="dxa"/>
                  <w:tcBorders/>
                  <w:shd w:color="auto" w:fill="D0CECE" w:themeFill="background2" w:themeFillShade="e6" w:val="clear"/>
                </w:tcPr>
                <w:p>
                  <w:pPr>
                    <w:pStyle w:val="Normal"/>
                    <w:widowControl/>
                    <w:spacing w:lineRule="auto" w:line="240" w:before="0" w:after="0"/>
                    <w:jc w:val="left"/>
                    <w:rPr>
                      <w:rFonts w:ascii="Arial" w:hAnsi="Arial" w:cs="Arial"/>
                      <w:b/>
                      <w:b/>
                      <w:sz w:val="16"/>
                      <w:szCs w:val="16"/>
                    </w:rPr>
                  </w:pPr>
                  <w:r>
                    <w:rPr>
                      <w:rFonts w:eastAsia="Calibri" w:cs="Arial" w:ascii="Arial" w:hAnsi="Arial"/>
                      <w:b/>
                      <w:kern w:val="0"/>
                      <w:sz w:val="16"/>
                      <w:szCs w:val="16"/>
                      <w:lang w:val="pl-PL" w:eastAsia="en-US" w:bidi="ar-SA"/>
                    </w:rPr>
                    <w:t>Rzeczywisty termin osiągnięcia</w:t>
                  </w:r>
                </w:p>
              </w:tc>
              <w:tc>
                <w:tcPr>
                  <w:tcW w:w="2670" w:type="dxa"/>
                  <w:tcBorders/>
                  <w:shd w:color="auto" w:fill="D0CECE" w:themeFill="background2" w:themeFillShade="e6" w:val="clear"/>
                </w:tcPr>
                <w:p>
                  <w:pPr>
                    <w:pStyle w:val="Normal"/>
                    <w:widowControl/>
                    <w:spacing w:lineRule="auto" w:line="240" w:before="0" w:after="0"/>
                    <w:jc w:val="left"/>
                    <w:rPr>
                      <w:rFonts w:ascii="Arial" w:hAnsi="Arial" w:cs="Arial"/>
                      <w:b/>
                      <w:b/>
                      <w:sz w:val="16"/>
                      <w:szCs w:val="16"/>
                    </w:rPr>
                  </w:pPr>
                  <w:r>
                    <w:rPr>
                      <w:rFonts w:eastAsia="Calibri" w:cs="Arial" w:ascii="Arial" w:hAnsi="Arial"/>
                      <w:b/>
                      <w:kern w:val="0"/>
                      <w:sz w:val="16"/>
                      <w:szCs w:val="16"/>
                      <w:lang w:val="pl-PL" w:eastAsia="en-US" w:bidi="ar-SA"/>
                    </w:rPr>
                    <w:t>Status realizacji kamienia milowego</w:t>
                  </w:r>
                </w:p>
              </w:tc>
            </w:tr>
            <w:tr>
              <w:trPr/>
              <w:tc>
                <w:tcPr>
                  <w:tcW w:w="1991" w:type="dxa"/>
                  <w:tcBorders/>
                  <w:shd w:color="auto" w:fill="auto" w:val="clear"/>
                </w:tcPr>
                <w:p>
                  <w:pPr>
                    <w:pStyle w:val="Normal"/>
                    <w:widowControl/>
                    <w:spacing w:lineRule="auto" w:line="240" w:before="0" w:after="0"/>
                    <w:jc w:val="left"/>
                    <w:rPr>
                      <w:rFonts w:ascii="Arial" w:hAnsi="Arial" w:cs="Arial"/>
                      <w:color w:val="0070C0"/>
                      <w:sz w:val="16"/>
                      <w:szCs w:val="16"/>
                    </w:rPr>
                  </w:pPr>
                  <w:r>
                    <w:rPr>
                      <w:rFonts w:eastAsia="Calibri" w:cs="Arial" w:ascii="Arial" w:hAnsi="Arial"/>
                      <w:kern w:val="0"/>
                      <w:sz w:val="16"/>
                      <w:szCs w:val="16"/>
                      <w:lang w:val="pl-PL" w:eastAsia="en-US" w:bidi="ar-SA"/>
                    </w:rPr>
                    <w:t xml:space="preserve">Ogłoszenie dotyczące wyboru wykonawcy studium wykonalności projektu </w:t>
                  </w:r>
                </w:p>
              </w:tc>
              <w:tc>
                <w:tcPr>
                  <w:tcW w:w="1303" w:type="dxa"/>
                  <w:tcBorders/>
                  <w:shd w:color="auto" w:fill="auto" w:val="clear"/>
                </w:tcPr>
                <w:p>
                  <w:pPr>
                    <w:pStyle w:val="Normal"/>
                    <w:widowControl/>
                    <w:spacing w:lineRule="auto" w:line="240" w:before="0" w:after="0"/>
                    <w:jc w:val="left"/>
                    <w:rPr>
                      <w:rFonts w:ascii="Arial" w:hAnsi="Arial" w:cs="Arial"/>
                      <w:color w:val="0070C0"/>
                      <w:sz w:val="16"/>
                      <w:szCs w:val="16"/>
                    </w:rPr>
                  </w:pPr>
                  <w:r>
                    <w:rPr>
                      <w:rFonts w:eastAsia="Calibri" w:cs="Arial" w:ascii="Arial" w:hAnsi="Arial"/>
                      <w:kern w:val="0"/>
                      <w:sz w:val="16"/>
                      <w:szCs w:val="16"/>
                      <w:lang w:val="pl-PL" w:eastAsia="en-US" w:bidi="ar-SA"/>
                    </w:rPr>
                    <w:t>11-2015</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color w:val="0070C0"/>
                      <w:sz w:val="16"/>
                      <w:szCs w:val="16"/>
                    </w:rPr>
                  </w:pPr>
                  <w:r>
                    <w:rPr>
                      <w:rFonts w:eastAsia="Calibri" w:cs="Arial" w:ascii="Arial" w:hAnsi="Arial"/>
                      <w:kern w:val="0"/>
                      <w:sz w:val="16"/>
                      <w:szCs w:val="16"/>
                      <w:lang w:val="pl-PL" w:eastAsia="en-US" w:bidi="ar-SA"/>
                    </w:rPr>
                    <w:t>11-2015</w:t>
                  </w:r>
                </w:p>
              </w:tc>
              <w:tc>
                <w:tcPr>
                  <w:tcW w:w="2670" w:type="dxa"/>
                  <w:tcBorders/>
                  <w:shd w:color="auto" w:fill="auto" w:val="clear"/>
                </w:tcPr>
                <w:p>
                  <w:pPr>
                    <w:pStyle w:val="Normal"/>
                    <w:widowControl/>
                    <w:spacing w:lineRule="auto" w:line="240" w:before="0" w:after="0"/>
                    <w:jc w:val="left"/>
                    <w:rPr>
                      <w:rFonts w:ascii="Arial" w:hAnsi="Arial" w:cs="Arial"/>
                      <w:color w:val="0070C0"/>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Wybór wykonawcy studium wykonalności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11-2015</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11-2015</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Zawarcie umowy na wykonanie studium wykonalności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12-2015</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12-2015</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Opracowanie studium wykonalności potwierdzone protokołem odbioru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01-2016</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02-2016</w:t>
                  </w:r>
                </w:p>
              </w:tc>
              <w:tc>
                <w:tcPr>
                  <w:tcW w:w="2670"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 xml:space="preserve">osiągnięty -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 xml:space="preserve">wykonawca dostarczył opracowany dokument z opóźnieniem, na tej podstawie sporządzono protokół przekazania w kolejnym miesiącu. Rzeczywisty termin osiągnięcia kamienia nie przekroczył daty punktu ostatecznego. </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Przygotowanie aktualizacji studium wykonalności potwierdzone protokołem</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11-2017</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11-2017</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Zawarcie umowy partnerskiej UMK i UKW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11-2017</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11-2017</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 xml:space="preserve">Opublikowanie ogłoszenia o publicznej prezentacji </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09-2017</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08-2017</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Zorganizowanie publicznej prezentacji założeń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09-2017</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09-2017</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Wystąpienie z wnioskiem o pozytywną ocenę projektu do KRMC</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09-2017</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10-2017</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 wniosek został skierowany w dniu 03.10.2017 r., tj. niezwłocznie po przygotowaniu niezbędnych załączników. Rzeczywisty termin osiągnięcia kamienia nie przekroczył daty punktu ostatecznego.</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Uzyskanie z KRMC pozytywnej oceny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10-2017</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11-2017</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 Przyczyna przekroczenia planowanego terminu: konieczność przeprowadzenia dodatkowych konsultacji z różnymi organami opiniotwórczymi.</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Zatrudnienie bibliotekarzy, archiwistów, konserwatora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08-2018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08-2018</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Wyselekcjonowanie zasobów i konserwacja zachowawcza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05-2021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05-2021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Wybór dostawcy oprogramowania i sprzętu oraz zawarcie umów dotyczących ww. dostaw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08-2018</w:t>
                  </w:r>
                </w:p>
              </w:tc>
              <w:tc>
                <w:tcPr>
                  <w:tcW w:w="1159" w:type="dxa"/>
                  <w:tcBorders/>
                  <w:shd w:color="auto" w:fill="auto" w:val="clear"/>
                </w:tcPr>
                <w:p>
                  <w:pPr>
                    <w:pStyle w:val="NormalWeb"/>
                    <w:widowControl/>
                    <w:spacing w:lineRule="auto" w:line="240" w:before="0" w:after="0"/>
                    <w:ind w:left="6" w:hanging="0"/>
                    <w:jc w:val="left"/>
                    <w:rPr>
                      <w:rFonts w:ascii="Arial" w:hAnsi="Arial" w:cs="Arial"/>
                      <w:sz w:val="16"/>
                      <w:szCs w:val="16"/>
                    </w:rPr>
                  </w:pPr>
                  <w:r>
                    <w:rPr>
                      <w:rFonts w:cs="Arial" w:ascii="Arial" w:hAnsi="Arial"/>
                      <w:kern w:val="0"/>
                      <w:sz w:val="16"/>
                      <w:szCs w:val="16"/>
                      <w:lang w:val="pl-PL" w:bidi="ar-SA"/>
                    </w:rPr>
                    <w:t>11-2019</w:t>
                  </w:r>
                </w:p>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22"/>
                      <w:szCs w:val="22"/>
                      <w:lang w:val="pl-PL" w:eastAsia="en-US" w:bidi="ar-SA"/>
                    </w:rPr>
                  </w:r>
                </w:p>
              </w:tc>
              <w:tc>
                <w:tcPr>
                  <w:tcW w:w="2670" w:type="dxa"/>
                  <w:tcBorders/>
                  <w:shd w:color="auto" w:fill="auto" w:val="clear"/>
                </w:tcPr>
                <w:p>
                  <w:pPr>
                    <w:pStyle w:val="NormalWeb"/>
                    <w:widowControl/>
                    <w:spacing w:lineRule="auto" w:line="240" w:before="0" w:after="0"/>
                    <w:jc w:val="left"/>
                    <w:rPr>
                      <w:rFonts w:ascii="Arial" w:hAnsi="Arial" w:cs="Arial"/>
                      <w:sz w:val="16"/>
                      <w:szCs w:val="16"/>
                    </w:rPr>
                  </w:pPr>
                  <w:r>
                    <w:rPr>
                      <w:rFonts w:eastAsia="" w:cs="Arial" w:ascii="Arial" w:hAnsi="Arial" w:eastAsiaTheme="minorEastAsia"/>
                      <w:kern w:val="0"/>
                      <w:sz w:val="16"/>
                      <w:szCs w:val="16"/>
                      <w:lang w:val="pl-PL" w:bidi="ar-SA"/>
                    </w:rPr>
                    <w:t>osiągnięty</w:t>
                  </w:r>
                  <w:r>
                    <w:rPr>
                      <w:rFonts w:cs="Arial" w:ascii="Arial" w:hAnsi="Arial"/>
                      <w:kern w:val="0"/>
                      <w:sz w:val="16"/>
                      <w:szCs w:val="16"/>
                      <w:lang w:val="pl-PL" w:bidi="ar-SA"/>
                    </w:rPr>
                    <w:t xml:space="preserve">.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 xml:space="preserve">Przyczyny nieosiągnięcia pełnego kamienia w zaplanowanym terminie: Duże obciążenie zadaniami, możliwe terminy wdrożenia oprogramowania dłuższe niż początkowo zakładano, opóźnienie w zakupie niezbędnego serwera, brak ofert, oferta przekraczała przewidziane środki na zakup. </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Potwierdzenie odbioru oprogramowania i sprzętu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bookmarkStart w:id="0" w:name="__DdeLink__3440_3432004142"/>
                  <w:bookmarkEnd w:id="0"/>
                  <w:r>
                    <w:rPr>
                      <w:rFonts w:eastAsia="Calibri" w:cs="Arial" w:ascii="Arial" w:hAnsi="Arial"/>
                      <w:kern w:val="0"/>
                      <w:sz w:val="16"/>
                      <w:szCs w:val="16"/>
                      <w:lang w:val="pl-PL" w:eastAsia="en-US" w:bidi="ar-SA"/>
                    </w:rPr>
                    <w:t>09-2018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11-2019</w:t>
                  </w:r>
                </w:p>
              </w:tc>
              <w:tc>
                <w:tcPr>
                  <w:tcW w:w="2670"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osiągnięty</w:t>
                  </w:r>
                </w:p>
                <w:p>
                  <w:pPr>
                    <w:pStyle w:val="NormalWeb"/>
                    <w:widowControl/>
                    <w:spacing w:lineRule="auto" w:line="240" w:before="280" w:after="0"/>
                    <w:jc w:val="left"/>
                    <w:rPr>
                      <w:rFonts w:ascii="Arial" w:hAnsi="Arial" w:cs="Arial"/>
                      <w:sz w:val="16"/>
                      <w:szCs w:val="16"/>
                    </w:rPr>
                  </w:pPr>
                  <w:r>
                    <w:rPr>
                      <w:rFonts w:cs="Arial" w:ascii="Arial" w:hAnsi="Arial"/>
                      <w:kern w:val="0"/>
                      <w:sz w:val="16"/>
                      <w:szCs w:val="16"/>
                      <w:lang w:val="pl-PL" w:bidi="ar-SA"/>
                    </w:rPr>
                    <w:t>Przyczyna nieosiągnięcia pełnego kamienia w zaplanowanym terminie: nieosiągnięcie kamienia dot. wyboru dostawcy.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 xml:space="preserve">Instalacja oprogramowania i sprzętu wybranych w drodze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zamówienia publicznego</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09-2018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11-2020</w:t>
                  </w:r>
                </w:p>
              </w:tc>
              <w:tc>
                <w:tcPr>
                  <w:tcW w:w="2670"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osiągnięty</w:t>
                  </w:r>
                </w:p>
                <w:p>
                  <w:pPr>
                    <w:pStyle w:val="NormalWeb"/>
                    <w:widowControl/>
                    <w:spacing w:lineRule="auto" w:line="240" w:before="280" w:after="0"/>
                    <w:jc w:val="left"/>
                    <w:rPr>
                      <w:rFonts w:ascii="Arial" w:hAnsi="Arial" w:cs="Arial"/>
                      <w:sz w:val="16"/>
                      <w:szCs w:val="16"/>
                    </w:rPr>
                  </w:pPr>
                  <w:r>
                    <w:rPr>
                      <w:rFonts w:cs="Arial" w:ascii="Arial" w:hAnsi="Arial"/>
                      <w:kern w:val="0"/>
                      <w:sz w:val="16"/>
                      <w:szCs w:val="16"/>
                      <w:lang w:val="pl-PL" w:bidi="ar-SA"/>
                    </w:rPr>
                    <w:t xml:space="preserve">Przyczyna nieosiągnięcia kamienia w zaplanowanym terminie: nieosiągnięcie kamienia dot. wyboru dostawcy. Zakończono proces wdrażania ostatniego oprogramowania: 11.2020. </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Zaangażowanie pracowników do skanowania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10-2018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09-2018</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Skanowanie obrazów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 xml:space="preserve">osiągnięty </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Wybór wykonawców prac koniecznych do spełnienia standardu WCAG 2.0 AA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10-2018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06-2019</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Przyczyna nieosiągnięcia kamienia w zaplanowanym terminie: oferty przewyższały kwotę przeznaczoną. Za zgodą CPPC zatrudniono 2 osób na ¾ etatu każda, które poprawiały teksty po maszynowym OCR.</w:t>
                  </w:r>
                </w:p>
              </w:tc>
            </w:tr>
            <w:tr>
              <w:trPr/>
              <w:tc>
                <w:tcPr>
                  <w:tcW w:w="1991"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 xml:space="preserve">Wykonanie prac koniecznych do spełnienia standardu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WCAG 2.0 AA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05-2021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06-2021</w:t>
                  </w:r>
                </w:p>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22"/>
                      <w:szCs w:val="22"/>
                      <w:lang w:val="pl-PL" w:eastAsia="en-US" w:bidi="ar-SA"/>
                    </w:rPr>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30.06.2021 skończył się okres zatrudnienia zgodnie z ustaleniami z CPPC.</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Ogłoszenie dot. zamówienia publicznego na wybór wykonawcy usługi dotyczącej skanowania srebrnych opraw 11</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03-2019</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03-2019</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Wybór wykonawcy usługi skanowania srebrnych opraw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05-2019</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04-2019</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Zawarcie umowy z wykonawcą skanów srebrnych opraw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05-2019</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05-2019</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Wykonanie skanów srebrnych opraw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04-2020</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04-2020</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 xml:space="preserve">Zaangażowanie pracowników do przetwarzania plików po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skanowaniu do formatów do upowszechniania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10-2018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10-2018</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Przetworzenie plików po skanowaniu do formatów odpowiednich do upowszechnienia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Zaangażowanie pracowników odpowiedzialnych za przygotowanie metadanych opisowych</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10-2018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10-2018</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Przygotowanie metadanych opisowych na platformę dLibra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Upowszechnienie metadanych w Internecie</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 xml:space="preserve">Ogłoszenie postępowania w zakresie wyboru wykonawcy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audytu zewnętrznego</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03-2021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05-2021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Przyczyna nieosiągnięcia kamienia w zaplanowanym terminie: duże obciążenie obowiązkami pracowników oraz praca w trybie hybrydowym.</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Zawarcie umowy z wykonawcą audytu zewnętrznego</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05-2021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06-2021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Przyczyna nieosiągnięcia kamienia w zaplanowanym terminie: duże obciążenie obowiązkami pracowników oraz praca w trybie hybrydowym.</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Przeprowadzenie audytu zew. pod kątem zgodności z WCAG i podpisanie protokołu wykonania usługi</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05-2021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06-2021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Przyczyna nieosiągnięcia kamienia w zaplanowanym terminie: duże obciążenie obowiązkami pracowników oraz praca w trybie hybrydowym.</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Zabezpieczenie plików na dyskach twardych i na DVD</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Zaangażowanie pracowników zatrudnionych do prac przy retrokonwersji</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12-2018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12-2018</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Wykonanie retrokonwersji</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07-2020</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09-2020</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br/>
                    <w:t xml:space="preserve">Przyczyna nieosiągnięcia kamienia w zaplanowanym terminie: konieczność pracy w trybie zdalnym i hybrydowym. </w:t>
                  </w:r>
                </w:p>
              </w:tc>
            </w:tr>
            <w:tr>
              <w:trPr/>
              <w:tc>
                <w:tcPr>
                  <w:tcW w:w="1991"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 xml:space="preserve">Przygotowanie i odbiór tablicy informacyjnej i utworzenie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zakładki dotyczącej projektu na stronach www UMK i UKW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09-2018</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11-2018</w:t>
                  </w:r>
                </w:p>
              </w:tc>
              <w:tc>
                <w:tcPr>
                  <w:tcW w:w="2670"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Osiągnięty. Przyczyną nieosiągnięcia pełnego kamienia milowego w terminie było zbyt duże obciążenie zadaniami pracowników uczelni prowadzących wymaganą przepisami prawa procedurę wyłonienia dostawców.</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Opracowanie i druk broszur informacyjnych, plakatów, roll-up'ów</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04-2019</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 xml:space="preserve">Osiągnięty. Prace dotyczące broszur przesunięto, aby lepiej przedstawić materiał do długoterminowej promocji projektu. </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Wykonanie wystaw ruchomych</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03-2021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06-2021</w:t>
                  </w:r>
                </w:p>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22"/>
                      <w:szCs w:val="22"/>
                      <w:lang w:val="pl-PL" w:eastAsia="en-US" w:bidi="ar-SA"/>
                    </w:rPr>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 Przyczyna nieosiągnięcia kamienia w terminie:</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Konieczność wyboru materiału, aby plansze mogły pokazać najpełniejszy obraz projektu.</w:t>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Organizacja konferencji podsumowującej realizację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Przygotowanie i odbiór tablicy pamiątkowej</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Upowszechnienie informacji dotyczącej projektu, jego zakończenia oraz uzyskanych rezultatów (proces ciągły)</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Zaangażowanie Kierownika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Zaangażowanie Asystenta Kierownika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Zaangażowanie Koordynatora projektu po stronie Partnera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Web"/>
                    <w:widowControl/>
                    <w:spacing w:lineRule="auto" w:line="240" w:before="0" w:after="0"/>
                    <w:jc w:val="left"/>
                    <w:rPr>
                      <w:rFonts w:ascii="Arial" w:hAnsi="Arial" w:cs="Arial"/>
                      <w:sz w:val="16"/>
                      <w:szCs w:val="16"/>
                    </w:rPr>
                  </w:pPr>
                  <w:r>
                    <w:rPr>
                      <w:rFonts w:cs="Arial" w:ascii="Arial" w:hAnsi="Arial"/>
                      <w:kern w:val="0"/>
                      <w:sz w:val="16"/>
                      <w:szCs w:val="16"/>
                      <w:lang w:val="pl-PL" w:bidi="ar-SA"/>
                    </w:rPr>
                    <w:t xml:space="preserve">Zaangażowanie asystenta Koordynatora po stronie </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Partnera</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07-2021</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osiągnięty</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tc>
            </w:tr>
            <w:tr>
              <w:trPr/>
              <w:tc>
                <w:tcPr>
                  <w:tcW w:w="1991"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Sporządzenie końcowego wniosku o płatność przez Kierownika projektu</w:t>
                  </w:r>
                </w:p>
              </w:tc>
              <w:tc>
                <w:tcPr>
                  <w:tcW w:w="1303"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07-2021</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(10-2021)</w:t>
                  </w:r>
                </w:p>
              </w:tc>
              <w:tc>
                <w:tcPr>
                  <w:tcW w:w="1159" w:type="dxa"/>
                  <w:tcBorders/>
                  <w:shd w:color="auto" w:fill="auto" w:val="clear"/>
                </w:tcPr>
                <w:p>
                  <w:pPr>
                    <w:pStyle w:val="ListParagraph"/>
                    <w:widowControl/>
                    <w:spacing w:lineRule="auto" w:line="240" w:before="0" w:after="0"/>
                    <w:ind w:left="7" w:hanging="0"/>
                    <w:contextualSpacing/>
                    <w:jc w:val="left"/>
                    <w:rPr>
                      <w:rFonts w:ascii="Arial" w:hAnsi="Arial" w:cs="Arial"/>
                      <w:sz w:val="16"/>
                      <w:szCs w:val="16"/>
                    </w:rPr>
                  </w:pPr>
                  <w:r>
                    <w:rPr>
                      <w:rFonts w:eastAsia="Calibri" w:cs="Arial" w:ascii="Arial" w:hAnsi="Arial"/>
                      <w:kern w:val="0"/>
                      <w:sz w:val="16"/>
                      <w:szCs w:val="16"/>
                      <w:lang w:val="pl-PL" w:eastAsia="en-US" w:bidi="ar-SA"/>
                    </w:rPr>
                    <w:t>-</w:t>
                  </w:r>
                </w:p>
              </w:tc>
              <w:tc>
                <w:tcPr>
                  <w:tcW w:w="2670" w:type="dxa"/>
                  <w:tcBorders/>
                  <w:shd w:color="auto" w:fill="auto" w:val="clear"/>
                </w:tcPr>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Końcowy wniosek Beneficjent ma złożyć zgodnie z projektem w październiku 2021 r.</w:t>
                  </w:r>
                </w:p>
                <w:p>
                  <w:pPr>
                    <w:pStyle w:val="Normal"/>
                    <w:widowControl/>
                    <w:spacing w:lineRule="auto" w:line="240" w:before="0" w:after="0"/>
                    <w:jc w:val="left"/>
                    <w:rPr>
                      <w:rFonts w:ascii="Arial" w:hAnsi="Arial" w:cs="Arial"/>
                      <w:sz w:val="16"/>
                      <w:szCs w:val="16"/>
                    </w:rPr>
                  </w:pPr>
                  <w:r>
                    <w:rPr>
                      <w:rFonts w:eastAsia="Calibri" w:cs="Arial" w:ascii="Arial" w:hAnsi="Arial"/>
                      <w:kern w:val="0"/>
                      <w:sz w:val="22"/>
                      <w:szCs w:val="22"/>
                      <w:lang w:val="pl-PL" w:eastAsia="en-US" w:bidi="ar-SA"/>
                    </w:rPr>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Beneficjent składa ostatni wniosek o płatność (końcową) do Instytucji Pośredniczącej w terminie do 25 dni od dnia zakończenia okresu kwalifikowalności wydatków</w:t>
                  </w:r>
                </w:p>
                <w:p>
                  <w:pPr>
                    <w:pStyle w:val="Normal"/>
                    <w:widowControl/>
                    <w:spacing w:lineRule="auto" w:line="240" w:before="0" w:after="0"/>
                    <w:jc w:val="left"/>
                    <w:rPr>
                      <w:rFonts w:ascii="Arial" w:hAnsi="Arial" w:cs="Arial"/>
                      <w:sz w:val="16"/>
                      <w:szCs w:val="16"/>
                    </w:rPr>
                  </w:pPr>
                  <w:r>
                    <w:rPr>
                      <w:rFonts w:eastAsia="Calibri" w:cs="Arial" w:ascii="Arial" w:hAnsi="Arial"/>
                      <w:kern w:val="0"/>
                      <w:sz w:val="16"/>
                      <w:szCs w:val="16"/>
                      <w:lang w:val="pl-PL" w:eastAsia="en-US" w:bidi="ar-SA"/>
                    </w:rPr>
                    <w:t>Okres kwalifikowalności wydatków dla Projektu rozpoczyna się w dniu 12.11.2015 r. i kończy się w dniu 30.09.2021r.</w:t>
                  </w:r>
                </w:p>
              </w:tc>
            </w:tr>
          </w:tbl>
          <w:p>
            <w:pPr>
              <w:pStyle w:val="Normal"/>
              <w:widowControl w:val="false"/>
              <w:jc w:val="both"/>
              <w:rPr>
                <w:rFonts w:ascii="Arial" w:hAnsi="Arial" w:cs="Arial"/>
              </w:rPr>
            </w:pPr>
            <w:r>
              <w:rPr>
                <w:rFonts w:cs="Arial" w:ascii="Arial" w:hAnsi="Arial"/>
              </w:rPr>
            </w:r>
          </w:p>
          <w:p>
            <w:pPr>
              <w:pStyle w:val="Normal"/>
              <w:widowControl/>
              <w:spacing w:lineRule="auto" w:line="240" w:before="0" w:after="0"/>
              <w:jc w:val="both"/>
              <w:rPr>
                <w:rFonts w:ascii="Arial" w:hAnsi="Arial" w:cs="Arial"/>
                <w:sz w:val="20"/>
                <w:szCs w:val="20"/>
              </w:rPr>
            </w:pPr>
            <w:r>
              <w:rPr>
                <w:rFonts w:eastAsia="Calibri" w:cs="Arial" w:ascii="Arial" w:hAnsi="Arial"/>
                <w:kern w:val="0"/>
                <w:sz w:val="20"/>
                <w:szCs w:val="20"/>
                <w:lang w:val="pl-PL" w:eastAsia="en-US" w:bidi="ar-SA"/>
              </w:rPr>
              <w:t>W wyniku realizacji projektu powstały następujące produkty:</w:t>
            </w:r>
          </w:p>
          <w:p>
            <w:pPr>
              <w:pStyle w:val="Normal"/>
              <w:widowControl/>
              <w:spacing w:lineRule="auto" w:line="240" w:before="0" w:after="0"/>
              <w:jc w:val="both"/>
              <w:rPr>
                <w:rStyle w:val="Nagwek2Znak"/>
                <w:rFonts w:ascii="Arial" w:hAnsi="Arial" w:cs="Arial"/>
                <w:bCs/>
                <w:color w:val="00000A"/>
                <w:sz w:val="20"/>
                <w:szCs w:val="20"/>
              </w:rPr>
            </w:pPr>
            <w:r>
              <w:rPr>
                <w:rStyle w:val="Nagwek2Znak"/>
                <w:rFonts w:eastAsia="Calibri" w:cs="" w:ascii="Calibri Light" w:hAnsi="Calibri Light"/>
                <w:bCs/>
                <w:i/>
                <w:iCs/>
                <w:color w:val="2E74B5"/>
                <w:kern w:val="0"/>
                <w:sz w:val="26"/>
                <w:szCs w:val="26"/>
                <w:lang w:val="pl-PL" w:eastAsia="en-US" w:bidi="ar-SA"/>
              </w:rPr>
              <w:t>E-usługi A2A, A2B, A2C</w:t>
            </w:r>
            <w:r>
              <w:rPr>
                <w:rStyle w:val="Nagwek2Znak"/>
                <w:rFonts w:eastAsia="Calibri" w:cs="" w:ascii="Calibri Light" w:hAnsi="Calibri Light"/>
                <w:bCs/>
                <w:color w:val="2E74B5"/>
                <w:kern w:val="0"/>
                <w:sz w:val="26"/>
                <w:szCs w:val="26"/>
                <w:lang w:val="pl-PL" w:eastAsia="en-US" w:bidi="ar-SA"/>
              </w:rPr>
              <w:t>: nie dotyczy</w:t>
            </w:r>
          </w:p>
          <w:p>
            <w:pPr>
              <w:pStyle w:val="Normal"/>
              <w:widowControl/>
              <w:spacing w:lineRule="auto" w:line="240" w:before="0" w:after="0"/>
              <w:jc w:val="both"/>
              <w:rPr>
                <w:rStyle w:val="Nagwek3Znak"/>
                <w:rFonts w:ascii="Arial" w:hAnsi="Arial" w:eastAsia="Calibri" w:cs="Arial" w:eastAsiaTheme="minorHAnsi"/>
                <w:bCs/>
                <w:color w:val="00000A"/>
                <w:sz w:val="20"/>
                <w:szCs w:val="20"/>
              </w:rPr>
            </w:pPr>
            <w:r>
              <w:rPr>
                <w:rStyle w:val="Nagwek3Znak"/>
                <w:rFonts w:eastAsia="Calibri" w:cs="" w:ascii="Calibri Light" w:hAnsi="Calibri Light" w:eastAsiaTheme="minorHAnsi"/>
                <w:bCs/>
                <w:i/>
                <w:iCs/>
                <w:color w:val="1F4D78"/>
                <w:kern w:val="0"/>
                <w:sz w:val="24"/>
                <w:szCs w:val="24"/>
                <w:lang w:val="pl-PL" w:eastAsia="en-US" w:bidi="ar-SA"/>
              </w:rPr>
              <w:t>Udostępnione informacje sektora publicznego i zdigitalizowane zasoby</w:t>
            </w:r>
            <w:r>
              <w:rPr>
                <w:rStyle w:val="Nagwek3Znak"/>
                <w:rFonts w:eastAsia="Calibri" w:cs="" w:ascii="Calibri Light" w:hAnsi="Calibri Light" w:eastAsiaTheme="minorHAnsi"/>
                <w:bCs/>
                <w:color w:val="1F4D78"/>
                <w:kern w:val="0"/>
                <w:sz w:val="24"/>
                <w:szCs w:val="24"/>
                <w:lang w:val="pl-PL" w:eastAsia="en-US" w:bidi="ar-SA"/>
              </w:rPr>
              <w:t xml:space="preserve">: </w:t>
            </w:r>
          </w:p>
          <w:p>
            <w:pPr>
              <w:pStyle w:val="Normal"/>
              <w:widowControl/>
              <w:spacing w:lineRule="auto" w:line="240" w:before="0" w:after="0"/>
              <w:jc w:val="both"/>
              <w:rPr>
                <w:rFonts w:ascii="Arial" w:hAnsi="Arial" w:cs="Arial"/>
                <w:sz w:val="20"/>
                <w:szCs w:val="20"/>
              </w:rPr>
            </w:pPr>
            <w:r>
              <w:rPr>
                <w:rStyle w:val="Nagwek3Znak"/>
                <w:rFonts w:eastAsia="Calibri" w:cs="Arial" w:ascii="Arial" w:hAnsi="Arial" w:eastAsiaTheme="minorHAnsi"/>
                <w:bCs/>
                <w:color w:val="00000A"/>
                <w:kern w:val="0"/>
                <w:sz w:val="20"/>
                <w:szCs w:val="20"/>
                <w:lang w:val="pl-PL" w:eastAsia="en-US" w:bidi="ar-SA"/>
              </w:rPr>
              <w:t>Z</w:t>
            </w:r>
            <w:r>
              <w:rPr>
                <w:rStyle w:val="Nagwek3Znak"/>
                <w:rFonts w:eastAsia="Calibri" w:cs="Arial" w:ascii="Arial" w:hAnsi="Arial"/>
                <w:bCs/>
                <w:color w:val="00000A"/>
                <w:kern w:val="0"/>
                <w:sz w:val="20"/>
                <w:szCs w:val="20"/>
                <w:lang w:val="pl-PL" w:eastAsia="en-US" w:bidi="ar-SA"/>
              </w:rPr>
              <w:t>adanie: „</w:t>
            </w:r>
            <w:r>
              <w:rPr>
                <w:rFonts w:eastAsia="Calibri" w:cs="Arial" w:ascii="Arial" w:hAnsi="Arial"/>
                <w:kern w:val="0"/>
                <w:sz w:val="20"/>
                <w:szCs w:val="20"/>
                <w:lang w:val="pl-PL" w:eastAsia="en-US" w:bidi="ar-SA"/>
              </w:rPr>
              <w:t>Poszerzenie otwartej naukowej bazy źródłowej o 28 000,00 zdigitalizowanych obiektów cyfrowych ze zbiorów Uniwersytetu Mikołaja Kopernika oraz Uniwersytetu Kazimierza Wielkiego” Otwarta naukowa baza źródłowa została poszerzona łącznie o 29 125 obiekty cyfrowe, czyli o 4% więcej.</w:t>
            </w:r>
          </w:p>
          <w:p>
            <w:pPr>
              <w:pStyle w:val="Normal"/>
              <w:widowControl/>
              <w:spacing w:lineRule="auto" w:line="240" w:before="0" w:after="0"/>
              <w:jc w:val="both"/>
              <w:rPr>
                <w:rFonts w:ascii="Arial" w:hAnsi="Arial" w:cs="Arial"/>
                <w:sz w:val="20"/>
                <w:szCs w:val="20"/>
              </w:rPr>
            </w:pPr>
            <w:r>
              <w:rPr>
                <w:rFonts w:eastAsia="Calibri" w:cs="Arial" w:ascii="Arial" w:hAnsi="Arial"/>
                <w:kern w:val="0"/>
                <w:sz w:val="20"/>
                <w:szCs w:val="20"/>
                <w:lang w:val="pl-PL" w:eastAsia="en-US" w:bidi="ar-SA"/>
              </w:rPr>
              <w:t>Zadanie: „Poszerzenie otwartej naukowej bazy źródłowej o 15 000,00 nowych elektronicznych opisów bibliograficznych.” Otwarta naukowa baza źródłowa została poszerzona o łącznie 18 221 rekordy, czyli 21% więcej.</w:t>
            </w:r>
          </w:p>
          <w:p>
            <w:pPr>
              <w:pStyle w:val="Normal"/>
              <w:widowControl/>
              <w:spacing w:lineRule="auto" w:line="240" w:before="0" w:after="0"/>
              <w:jc w:val="both"/>
              <w:rPr>
                <w:rFonts w:ascii="Arial" w:hAnsi="Arial" w:cs="Arial"/>
                <w:bCs/>
                <w:sz w:val="20"/>
                <w:szCs w:val="20"/>
              </w:rPr>
            </w:pPr>
            <w:r>
              <w:rPr>
                <w:rStyle w:val="Nagwek2Znak"/>
                <w:rFonts w:eastAsia="Calibri" w:cs="" w:ascii="Calibri Light" w:hAnsi="Calibri Light"/>
                <w:bCs/>
                <w:i/>
                <w:iCs/>
                <w:color w:val="00000A"/>
                <w:kern w:val="0"/>
                <w:sz w:val="26"/>
                <w:szCs w:val="26"/>
                <w:lang w:val="pl-PL" w:eastAsia="en-US" w:bidi="ar-SA"/>
              </w:rPr>
              <w:t>Produkty końcowe projektu</w:t>
            </w:r>
            <w:r>
              <w:rPr>
                <w:rStyle w:val="Nagwek2Znak"/>
                <w:rFonts w:eastAsia="Calibri" w:cs="" w:ascii="Calibri Light" w:hAnsi="Calibri Light"/>
                <w:bCs/>
                <w:color w:val="00000A"/>
                <w:kern w:val="0"/>
                <w:sz w:val="26"/>
                <w:szCs w:val="26"/>
                <w:lang w:val="pl-PL" w:eastAsia="en-US" w:bidi="ar-SA"/>
              </w:rPr>
              <w:t>: nie dotyczy</w:t>
            </w:r>
          </w:p>
          <w:p>
            <w:pPr>
              <w:pStyle w:val="Normal"/>
              <w:widowControl/>
              <w:spacing w:lineRule="auto" w:line="240" w:before="0" w:after="0"/>
              <w:jc w:val="both"/>
              <w:rPr>
                <w:rFonts w:ascii="Arial" w:hAnsi="Arial" w:cs="Arial"/>
                <w:i/>
                <w:i/>
                <w:sz w:val="18"/>
                <w:szCs w:val="20"/>
              </w:rPr>
            </w:pPr>
            <w:r>
              <w:rPr>
                <w:rFonts w:eastAsia="Calibri" w:cs="Arial" w:ascii="Arial" w:hAnsi="Arial"/>
                <w:b/>
                <w:bCs/>
                <w:kern w:val="0"/>
                <w:sz w:val="18"/>
                <w:szCs w:val="18"/>
                <w:lang w:val="pl-PL" w:eastAsia="en-US" w:bidi="ar-SA"/>
              </w:rPr>
              <w:t xml:space="preserve"> </w:t>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E-usługi dla obywateli i przedsiębiorców</w:t>
            </w:r>
          </w:p>
        </w:tc>
        <w:tc>
          <w:tcPr>
            <w:tcW w:w="7231" w:type="dxa"/>
            <w:tcBorders/>
          </w:tcPr>
          <w:p>
            <w:pPr>
              <w:pStyle w:val="Normal"/>
              <w:widowControl/>
              <w:spacing w:lineRule="auto" w:line="240" w:before="0" w:after="0"/>
              <w:jc w:val="left"/>
              <w:rPr>
                <w:rFonts w:ascii="Arial" w:hAnsi="Arial" w:eastAsia="Arial" w:cs="Arial"/>
                <w:sz w:val="20"/>
                <w:szCs w:val="20"/>
              </w:rPr>
            </w:pPr>
            <w:r>
              <w:rPr>
                <w:rFonts w:eastAsia="Arial" w:cs="Arial" w:ascii="Arial" w:hAnsi="Arial"/>
                <w:kern w:val="0"/>
                <w:sz w:val="20"/>
                <w:szCs w:val="20"/>
                <w:lang w:val="pl-PL" w:eastAsia="en-US" w:bidi="ar-SA"/>
              </w:rPr>
            </w:r>
          </w:p>
          <w:p>
            <w:pPr>
              <w:pStyle w:val="Normal"/>
              <w:widowControl/>
              <w:spacing w:lineRule="auto" w:line="240" w:before="0" w:after="0"/>
              <w:jc w:val="left"/>
              <w:rPr>
                <w:rFonts w:ascii="Arial" w:hAnsi="Arial" w:eastAsia="Arial" w:cs="Arial"/>
                <w:sz w:val="20"/>
                <w:szCs w:val="20"/>
              </w:rPr>
            </w:pPr>
            <w:r>
              <w:rPr>
                <w:rFonts w:eastAsia="Arial" w:cs="Arial" w:ascii="Arial" w:hAnsi="Arial"/>
                <w:kern w:val="0"/>
                <w:sz w:val="20"/>
                <w:szCs w:val="20"/>
                <w:lang w:val="pl-PL" w:eastAsia="en-US" w:bidi="ar-SA"/>
              </w:rPr>
            </w:r>
          </w:p>
          <w:p>
            <w:pPr>
              <w:pStyle w:val="Normal"/>
              <w:widowControl/>
              <w:spacing w:lineRule="auto" w:line="240" w:before="0" w:after="0"/>
              <w:jc w:val="left"/>
              <w:rPr>
                <w:rFonts w:ascii="Arial" w:hAnsi="Arial" w:eastAsia="Arial" w:cs="Arial"/>
                <w:sz w:val="20"/>
                <w:szCs w:val="20"/>
              </w:rPr>
            </w:pPr>
            <w:r>
              <w:rPr>
                <w:rFonts w:eastAsia="Arial" w:cs="Arial" w:ascii="Arial" w:hAnsi="Arial"/>
                <w:kern w:val="0"/>
                <w:sz w:val="20"/>
                <w:szCs w:val="20"/>
                <w:lang w:val="pl-PL" w:eastAsia="en-US" w:bidi="ar-SA"/>
              </w:rPr>
              <w:t xml:space="preserve">W ramach projektu nie planowano nowych e-usług. </w:t>
            </w:r>
          </w:p>
          <w:p>
            <w:pPr>
              <w:pStyle w:val="Normal"/>
              <w:widowControl/>
              <w:spacing w:lineRule="auto" w:line="240" w:before="0" w:after="0"/>
              <w:jc w:val="left"/>
              <w:rPr>
                <w:rFonts w:ascii="Arial" w:hAnsi="Arial" w:eastAsia="Arial" w:cs="Arial"/>
                <w:sz w:val="20"/>
                <w:szCs w:val="20"/>
              </w:rPr>
            </w:pPr>
            <w:r>
              <w:rPr>
                <w:rFonts w:eastAsia="Arial" w:cs="Arial" w:ascii="Arial" w:hAnsi="Arial"/>
                <w:kern w:val="0"/>
                <w:sz w:val="20"/>
                <w:szCs w:val="20"/>
                <w:lang w:val="pl-PL" w:eastAsia="en-US" w:bidi="ar-SA"/>
              </w:rPr>
            </w:r>
          </w:p>
          <w:p>
            <w:pPr>
              <w:pStyle w:val="Normal"/>
              <w:widowControl/>
              <w:spacing w:lineRule="auto" w:line="240" w:before="0" w:after="0"/>
              <w:jc w:val="left"/>
              <w:rPr>
                <w:rFonts w:ascii="Arial" w:hAnsi="Arial" w:eastAsia="Arial" w:cs="Arial"/>
                <w:sz w:val="20"/>
                <w:szCs w:val="20"/>
              </w:rPr>
            </w:pPr>
            <w:r>
              <w:rPr>
                <w:rFonts w:eastAsia="Arial" w:cs="Arial" w:ascii="Arial" w:hAnsi="Arial"/>
                <w:kern w:val="0"/>
                <w:sz w:val="20"/>
                <w:szCs w:val="20"/>
                <w:lang w:val="pl-PL" w:eastAsia="en-US" w:bidi="ar-SA"/>
              </w:rPr>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Postęp w realizacji strategicznych celów Państwa</w:t>
            </w:r>
          </w:p>
        </w:tc>
        <w:tc>
          <w:tcPr>
            <w:tcW w:w="7231" w:type="dxa"/>
            <w:tcBorders/>
          </w:tcPr>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Zgodność z krajowymi dokumentami strategicznymi: </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Strategia Sprawne Państwo 2020 - nasz projekt przyczynia się do zwiększenia dostępności i poziomu wykorzystania zasobów sektora publicznego. Gwarantuje równy dostęp do wysokiej jakości świadczonych usług i poprawia poziom satysfakcji obywateli z jakości usług publicznych.</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Program Zintegrowanej Informatyzacji Państwa do 2020 - nasz projekt  udostępnia zasoby informacyjne nauki w tym szkolnictwa wyższego, zapewnia dostęp do informacji o zasobach kultury i dziedzictwa narodowego, wspiera rozwój społeczeństwa obywatelskiego, umożliwia ponowne wykorzystanie informacji.</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Plan na Rzecz Odpowiedzialnego Rozwoju - nasz projekt wspiera zrównoważony rozwój społeczny i regionalny. Dostęp do upowszechnionych materiałów bibliotecznych jest niezależny od miejsca zamieszkania, e-zasoby dostępne są dla mieszkańców mniejszych miast i obszarów wiejskich. Rezultaty projektu przeciwdziałają powstaniu obszarów wykluczenia i niwelują różnice w dostępie mieszkańców do usług publicznych.</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Strategia Europa 2020 - nasz projekt propaguje korzystanie z nowoczesnych usług on-line, sprzyja wzrostowi inteligencji, rozwojowi opartemu na wiedzy i innowacjach.</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Osiągnięto wszystkie wskaźniki projektu, które miały być zrealizowane do końca realizacji rzeczowej:  </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tbl>
            <w:tblPr>
              <w:tblStyle w:val="Tabela-Siatka"/>
              <w:tblW w:w="651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837"/>
              <w:gridCol w:w="836"/>
              <w:gridCol w:w="1151"/>
              <w:gridCol w:w="1276"/>
              <w:gridCol w:w="1417"/>
            </w:tblGrid>
            <w:tr>
              <w:trPr/>
              <w:tc>
                <w:tcPr>
                  <w:tcW w:w="1837" w:type="dxa"/>
                  <w:tcBorders/>
                  <w:shd w:color="auto" w:fill="D0CECE" w:themeFill="background2" w:themeFillShade="e6" w:val="clear"/>
                  <w:vAlign w:val="center"/>
                </w:tcPr>
                <w:p>
                  <w:pPr>
                    <w:pStyle w:val="Normal"/>
                    <w:widowControl/>
                    <w:spacing w:lineRule="auto" w:line="240" w:before="0" w:after="0"/>
                    <w:jc w:val="left"/>
                    <w:rPr>
                      <w:rFonts w:ascii="Arial" w:hAnsi="Arial" w:cs="Arial"/>
                      <w:b/>
                      <w:b/>
                      <w:sz w:val="18"/>
                      <w:szCs w:val="18"/>
                    </w:rPr>
                  </w:pPr>
                  <w:r>
                    <w:rPr>
                      <w:rFonts w:eastAsia="Calibri" w:cs="Arial" w:ascii="Arial" w:hAnsi="Arial"/>
                      <w:b/>
                      <w:kern w:val="0"/>
                      <w:sz w:val="18"/>
                      <w:szCs w:val="18"/>
                      <w:lang w:val="pl-PL" w:eastAsia="en-US" w:bidi="ar-SA"/>
                    </w:rPr>
                    <w:t>Nazwa</w:t>
                  </w:r>
                </w:p>
              </w:tc>
              <w:tc>
                <w:tcPr>
                  <w:tcW w:w="836" w:type="dxa"/>
                  <w:tcBorders/>
                  <w:shd w:color="auto" w:fill="D0CECE" w:themeFill="background2" w:themeFillShade="e6" w:val="clear"/>
                  <w:vAlign w:val="center"/>
                </w:tcPr>
                <w:p>
                  <w:pPr>
                    <w:pStyle w:val="Normal"/>
                    <w:widowControl/>
                    <w:spacing w:lineRule="auto" w:line="240" w:before="0" w:after="0"/>
                    <w:jc w:val="left"/>
                    <w:rPr>
                      <w:rFonts w:ascii="Arial" w:hAnsi="Arial" w:cs="Arial"/>
                      <w:b/>
                      <w:b/>
                      <w:sz w:val="18"/>
                      <w:szCs w:val="18"/>
                    </w:rPr>
                  </w:pPr>
                  <w:r>
                    <w:rPr>
                      <w:rFonts w:eastAsia="Calibri" w:cs="Arial" w:ascii="Arial" w:hAnsi="Arial"/>
                      <w:b/>
                      <w:kern w:val="0"/>
                      <w:sz w:val="18"/>
                      <w:szCs w:val="18"/>
                      <w:lang w:val="pl-PL" w:eastAsia="en-US" w:bidi="ar-SA"/>
                    </w:rPr>
                    <w:t>Jedn. miary</w:t>
                  </w:r>
                </w:p>
              </w:tc>
              <w:tc>
                <w:tcPr>
                  <w:tcW w:w="1151" w:type="dxa"/>
                  <w:tcBorders/>
                  <w:shd w:color="auto" w:fill="D0CECE" w:themeFill="background2" w:themeFillShade="e6" w:val="clear"/>
                  <w:vAlign w:val="center"/>
                </w:tcPr>
                <w:p>
                  <w:pPr>
                    <w:pStyle w:val="Normal"/>
                    <w:widowControl/>
                    <w:spacing w:lineRule="auto" w:line="240" w:before="0" w:after="0"/>
                    <w:jc w:val="left"/>
                    <w:rPr>
                      <w:rFonts w:ascii="Arial" w:hAnsi="Arial" w:cs="Arial"/>
                      <w:b/>
                      <w:b/>
                      <w:sz w:val="18"/>
                      <w:szCs w:val="18"/>
                    </w:rPr>
                  </w:pPr>
                  <w:r>
                    <w:rPr>
                      <w:rFonts w:eastAsia="Calibri" w:cs="Arial" w:ascii="Arial" w:hAnsi="Arial"/>
                      <w:b/>
                      <w:kern w:val="0"/>
                      <w:sz w:val="18"/>
                      <w:szCs w:val="18"/>
                      <w:lang w:val="pl-PL" w:eastAsia="en-US" w:bidi="ar-SA"/>
                    </w:rPr>
                    <w:t xml:space="preserve">Wartość </w:t>
                  </w:r>
                </w:p>
                <w:p>
                  <w:pPr>
                    <w:pStyle w:val="Normal"/>
                    <w:widowControl/>
                    <w:spacing w:lineRule="auto" w:line="240" w:before="0" w:after="0"/>
                    <w:jc w:val="left"/>
                    <w:rPr>
                      <w:rFonts w:ascii="Arial" w:hAnsi="Arial" w:cs="Arial"/>
                      <w:b/>
                      <w:b/>
                      <w:sz w:val="18"/>
                      <w:szCs w:val="18"/>
                    </w:rPr>
                  </w:pPr>
                  <w:r>
                    <w:rPr>
                      <w:rFonts w:eastAsia="Calibri" w:cs="Arial" w:ascii="Arial" w:hAnsi="Arial"/>
                      <w:b/>
                      <w:kern w:val="0"/>
                      <w:sz w:val="18"/>
                      <w:szCs w:val="18"/>
                      <w:lang w:val="pl-PL" w:eastAsia="en-US" w:bidi="ar-SA"/>
                    </w:rPr>
                    <w:t>docelowa</w:t>
                  </w:r>
                </w:p>
              </w:tc>
              <w:tc>
                <w:tcPr>
                  <w:tcW w:w="1276" w:type="dxa"/>
                  <w:tcBorders/>
                  <w:shd w:color="auto" w:fill="D0CECE" w:themeFill="background2" w:themeFillShade="e6" w:val="clear"/>
                  <w:vAlign w:val="center"/>
                </w:tcPr>
                <w:p>
                  <w:pPr>
                    <w:pStyle w:val="Normal"/>
                    <w:widowControl/>
                    <w:spacing w:lineRule="auto" w:line="240" w:before="0" w:after="0"/>
                    <w:jc w:val="left"/>
                    <w:rPr>
                      <w:rFonts w:ascii="Arial" w:hAnsi="Arial" w:cs="Arial"/>
                      <w:b/>
                      <w:b/>
                      <w:sz w:val="18"/>
                      <w:szCs w:val="18"/>
                    </w:rPr>
                  </w:pPr>
                  <w:r>
                    <w:rPr>
                      <w:rFonts w:eastAsia="Calibri" w:cs="Arial" w:ascii="Arial" w:hAnsi="Arial"/>
                      <w:b/>
                      <w:kern w:val="0"/>
                      <w:sz w:val="18"/>
                      <w:szCs w:val="18"/>
                      <w:lang w:val="pl-PL" w:eastAsia="en-US" w:bidi="ar-SA"/>
                    </w:rPr>
                    <w:t>Planowany termin osiągnięcia</w:t>
                  </w:r>
                </w:p>
              </w:tc>
              <w:tc>
                <w:tcPr>
                  <w:tcW w:w="1417" w:type="dxa"/>
                  <w:tcBorders/>
                  <w:shd w:color="auto" w:fill="D0CECE" w:themeFill="background2" w:themeFillShade="e6" w:val="clear"/>
                  <w:vAlign w:val="center"/>
                </w:tcPr>
                <w:p>
                  <w:pPr>
                    <w:pStyle w:val="Normal"/>
                    <w:widowControl/>
                    <w:spacing w:lineRule="auto" w:line="240" w:before="0" w:after="0"/>
                    <w:jc w:val="left"/>
                    <w:rPr>
                      <w:rFonts w:ascii="Arial" w:hAnsi="Arial" w:cs="Arial"/>
                      <w:b/>
                      <w:b/>
                      <w:sz w:val="18"/>
                      <w:szCs w:val="18"/>
                    </w:rPr>
                  </w:pPr>
                  <w:r>
                    <w:rPr>
                      <w:rFonts w:eastAsia="Calibri" w:cs="Arial" w:ascii="Arial" w:hAnsi="Arial"/>
                      <w:b/>
                      <w:kern w:val="0"/>
                      <w:sz w:val="18"/>
                      <w:szCs w:val="18"/>
                      <w:lang w:val="pl-PL" w:eastAsia="en-US" w:bidi="ar-SA"/>
                    </w:rPr>
                    <w:t>Wartość osiągnięta od początku realizacji projektu (narastająco)</w:t>
                  </w:r>
                </w:p>
              </w:tc>
            </w:tr>
            <w:tr>
              <w:trPr/>
              <w:tc>
                <w:tcPr>
                  <w:tcW w:w="1837" w:type="dxa"/>
                  <w:tcBorders/>
                  <w:shd w:color="auto" w:fill="auto" w:val="clear"/>
                </w:tcPr>
                <w:p>
                  <w:pPr>
                    <w:pStyle w:val="Normal"/>
                    <w:widowControl/>
                    <w:spacing w:lineRule="auto" w:line="240" w:before="0" w:after="0"/>
                    <w:jc w:val="left"/>
                    <w:rPr>
                      <w:rFonts w:cs="Calibri" w:cstheme="minorHAnsi"/>
                      <w:color w:val="0070C0"/>
                      <w:sz w:val="20"/>
                      <w:szCs w:val="20"/>
                      <w:lang w:eastAsia="pl-PL"/>
                    </w:rPr>
                  </w:pPr>
                  <w:r>
                    <w:rPr>
                      <w:rFonts w:eastAsia="Calibri" w:cs="Calibri" w:cstheme="minorHAnsi"/>
                      <w:kern w:val="0"/>
                      <w:sz w:val="20"/>
                      <w:szCs w:val="20"/>
                      <w:lang w:val="pl-PL" w:eastAsia="en-US" w:bidi="ar-SA"/>
                    </w:rPr>
                    <w:t xml:space="preserve">1. Wskaźnik kluczowy (obligatoryjny) – wskaźnik produktu: Liczba podmiotów, które udostępniły on-line informacje sektora </w:t>
                  </w:r>
                </w:p>
              </w:tc>
              <w:tc>
                <w:tcPr>
                  <w:tcW w:w="83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szt.</w:t>
                  </w:r>
                </w:p>
              </w:tc>
              <w:tc>
                <w:tcPr>
                  <w:tcW w:w="1151"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2,00</w:t>
                  </w:r>
                </w:p>
              </w:tc>
              <w:tc>
                <w:tcPr>
                  <w:tcW w:w="127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07.2021</w:t>
                  </w:r>
                </w:p>
              </w:tc>
              <w:tc>
                <w:tcPr>
                  <w:tcW w:w="1417"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2,00</w:t>
                  </w:r>
                </w:p>
              </w:tc>
            </w:tr>
            <w:tr>
              <w:trPr/>
              <w:tc>
                <w:tcPr>
                  <w:tcW w:w="1837" w:type="dxa"/>
                  <w:tcBorders/>
                  <w:shd w:color="auto" w:fill="auto" w:val="clear"/>
                </w:tcPr>
                <w:p>
                  <w:pPr>
                    <w:pStyle w:val="Normal"/>
                    <w:widowControl/>
                    <w:spacing w:lineRule="auto" w:line="240" w:before="0" w:after="0"/>
                    <w:jc w:val="left"/>
                    <w:rPr>
                      <w:rFonts w:cs="Calibri" w:cstheme="minorHAnsi"/>
                      <w:color w:val="0070C0"/>
                      <w:sz w:val="20"/>
                      <w:szCs w:val="20"/>
                      <w:lang w:eastAsia="pl-PL"/>
                    </w:rPr>
                  </w:pPr>
                  <w:r>
                    <w:rPr>
                      <w:rFonts w:eastAsia="Calibri" w:cs="Calibri" w:cstheme="minorHAnsi"/>
                      <w:kern w:val="0"/>
                      <w:sz w:val="20"/>
                      <w:szCs w:val="20"/>
                      <w:lang w:val="pl-PL" w:eastAsia="en-US" w:bidi="ar-SA"/>
                    </w:rPr>
                    <w:t>2. Wskaźnik kluczowy (adekwatny do projektu) – wskaźnik produktu: Liczba zdigitalizowanych dokumentów zawierających informacje sektora publicznego.</w:t>
                  </w:r>
                </w:p>
              </w:tc>
              <w:tc>
                <w:tcPr>
                  <w:tcW w:w="83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szt.</w:t>
                  </w:r>
                </w:p>
              </w:tc>
              <w:tc>
                <w:tcPr>
                  <w:tcW w:w="1151"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28.000,00</w:t>
                  </w:r>
                </w:p>
              </w:tc>
              <w:tc>
                <w:tcPr>
                  <w:tcW w:w="127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07.2021</w:t>
                  </w:r>
                </w:p>
              </w:tc>
              <w:tc>
                <w:tcPr>
                  <w:tcW w:w="1417" w:type="dxa"/>
                  <w:tcBorders/>
                  <w:shd w:color="auto" w:fill="auto" w:val="clear"/>
                </w:tcPr>
                <w:p>
                  <w:pPr>
                    <w:pStyle w:val="NormalWeb"/>
                    <w:widowControl/>
                    <w:spacing w:lineRule="auto" w:line="240" w:before="0" w:after="0"/>
                    <w:jc w:val="left"/>
                    <w:rPr>
                      <w:sz w:val="20"/>
                      <w:szCs w:val="20"/>
                    </w:rPr>
                  </w:pPr>
                  <w:r>
                    <w:rPr>
                      <w:rFonts w:cs="Calibri" w:ascii="Calibri" w:hAnsi="Calibri" w:asciiTheme="minorHAnsi" w:cstheme="minorHAnsi" w:hAnsiTheme="minorHAnsi"/>
                      <w:kern w:val="0"/>
                      <w:sz w:val="20"/>
                      <w:szCs w:val="20"/>
                      <w:lang w:val="pl-PL" w:bidi="ar-SA"/>
                    </w:rPr>
                    <w:t>29.135,00</w:t>
                  </w:r>
                </w:p>
                <w:p>
                  <w:pPr>
                    <w:pStyle w:val="Normal"/>
                    <w:widowControl/>
                    <w:spacing w:lineRule="auto" w:line="240" w:before="0" w:after="0"/>
                    <w:jc w:val="left"/>
                    <w:rPr>
                      <w:rFonts w:cs="Calibri" w:cstheme="minorHAnsi"/>
                      <w:color w:val="0070C0"/>
                      <w:sz w:val="20"/>
                      <w:szCs w:val="20"/>
                    </w:rPr>
                  </w:pPr>
                  <w:r>
                    <w:rPr>
                      <w:rFonts w:eastAsia="Calibri" w:cs="Calibri" w:cstheme="minorHAnsi"/>
                      <w:color w:val="0070C0"/>
                      <w:kern w:val="0"/>
                      <w:sz w:val="22"/>
                      <w:szCs w:val="22"/>
                      <w:lang w:val="pl-PL" w:eastAsia="en-US" w:bidi="ar-SA"/>
                    </w:rPr>
                  </w:r>
                </w:p>
              </w:tc>
            </w:tr>
            <w:tr>
              <w:trPr/>
              <w:tc>
                <w:tcPr>
                  <w:tcW w:w="1837" w:type="dxa"/>
                  <w:tcBorders/>
                  <w:shd w:color="auto" w:fill="auto" w:val="clear"/>
                </w:tcPr>
                <w:p>
                  <w:pPr>
                    <w:pStyle w:val="Normal"/>
                    <w:widowControl/>
                    <w:spacing w:lineRule="auto" w:line="240" w:before="0" w:after="0"/>
                    <w:jc w:val="left"/>
                    <w:rPr>
                      <w:sz w:val="20"/>
                      <w:szCs w:val="20"/>
                    </w:rPr>
                  </w:pPr>
                  <w:r>
                    <w:rPr>
                      <w:rFonts w:eastAsia="Calibri" w:cs="Calibri" w:cstheme="minorHAnsi"/>
                      <w:kern w:val="0"/>
                      <w:sz w:val="20"/>
                      <w:szCs w:val="20"/>
                      <w:lang w:val="pl-PL" w:eastAsia="en-US" w:bidi="ar-SA"/>
                    </w:rPr>
                    <w:t>3. Wskaźnik kluczowy (adekwatny do projektu) – wskaźnik produktu: Liczba udostępnionych on-line dokumentów zawierających informacje sektora publicznego</w:t>
                  </w:r>
                </w:p>
              </w:tc>
              <w:tc>
                <w:tcPr>
                  <w:tcW w:w="83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szt.</w:t>
                  </w:r>
                </w:p>
              </w:tc>
              <w:tc>
                <w:tcPr>
                  <w:tcW w:w="1151"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43.000 ,00</w:t>
                  </w:r>
                </w:p>
              </w:tc>
              <w:tc>
                <w:tcPr>
                  <w:tcW w:w="127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07.2021</w:t>
                  </w:r>
                </w:p>
              </w:tc>
              <w:tc>
                <w:tcPr>
                  <w:tcW w:w="1417" w:type="dxa"/>
                  <w:tcBorders/>
                  <w:shd w:color="auto" w:fill="auto" w:val="clear"/>
                </w:tcPr>
                <w:p>
                  <w:pPr>
                    <w:pStyle w:val="NormalWeb"/>
                    <w:widowControl/>
                    <w:spacing w:lineRule="auto" w:line="240" w:before="0" w:after="0"/>
                    <w:jc w:val="left"/>
                    <w:rPr>
                      <w:rFonts w:ascii="Calibri" w:hAnsi="Calibri" w:cs="Calibri" w:asciiTheme="minorHAnsi" w:cstheme="minorHAnsi" w:hAnsiTheme="minorHAnsi"/>
                      <w:sz w:val="20"/>
                      <w:szCs w:val="20"/>
                    </w:rPr>
                  </w:pPr>
                  <w:r>
                    <w:rPr>
                      <w:rFonts w:cs="Calibri" w:ascii="Calibri" w:hAnsi="Calibri" w:asciiTheme="minorHAnsi" w:cstheme="minorHAnsi" w:hAnsiTheme="minorHAnsi"/>
                      <w:kern w:val="0"/>
                      <w:sz w:val="20"/>
                      <w:szCs w:val="20"/>
                      <w:lang w:val="pl-PL" w:bidi="ar-SA"/>
                    </w:rPr>
                    <w:t>47.356,00</w:t>
                  </w:r>
                </w:p>
                <w:p>
                  <w:pPr>
                    <w:pStyle w:val="Normal"/>
                    <w:widowControl/>
                    <w:spacing w:lineRule="auto" w:line="240" w:before="0" w:after="0"/>
                    <w:jc w:val="left"/>
                    <w:rPr>
                      <w:rFonts w:cs="Calibri" w:cstheme="minorHAnsi"/>
                      <w:color w:val="0070C0"/>
                      <w:sz w:val="20"/>
                      <w:szCs w:val="20"/>
                    </w:rPr>
                  </w:pPr>
                  <w:r>
                    <w:rPr>
                      <w:rFonts w:eastAsia="Calibri" w:cs="Calibri" w:cstheme="minorHAnsi"/>
                      <w:color w:val="0070C0"/>
                      <w:kern w:val="0"/>
                      <w:sz w:val="22"/>
                      <w:szCs w:val="22"/>
                      <w:lang w:val="pl-PL" w:eastAsia="en-US" w:bidi="ar-SA"/>
                    </w:rPr>
                  </w:r>
                </w:p>
              </w:tc>
            </w:tr>
            <w:tr>
              <w:trPr/>
              <w:tc>
                <w:tcPr>
                  <w:tcW w:w="1837" w:type="dxa"/>
                  <w:tcBorders/>
                  <w:shd w:color="auto" w:fill="auto" w:val="clear"/>
                </w:tcPr>
                <w:p>
                  <w:pPr>
                    <w:pStyle w:val="Normal"/>
                    <w:widowControl/>
                    <w:spacing w:lineRule="auto" w:line="240" w:before="0" w:after="0"/>
                    <w:jc w:val="left"/>
                    <w:rPr>
                      <w:rFonts w:cs="Calibri" w:cstheme="minorHAnsi"/>
                      <w:color w:val="0070C0"/>
                      <w:sz w:val="20"/>
                      <w:szCs w:val="20"/>
                      <w:lang w:eastAsia="pl-PL"/>
                    </w:rPr>
                  </w:pPr>
                  <w:r>
                    <w:rPr>
                      <w:rFonts w:eastAsia="Calibri" w:cs="Calibri" w:cstheme="minorHAnsi"/>
                      <w:kern w:val="0"/>
                      <w:sz w:val="20"/>
                      <w:szCs w:val="20"/>
                      <w:lang w:val="pl-PL" w:eastAsia="en-US" w:bidi="ar-SA"/>
                    </w:rPr>
                    <w:t xml:space="preserve">4. Wskaźnik kluczowy (adekwatny do projektu) – wskaźnik produktu: Liczba baz danych udostępnionych on-line poprzez API </w:t>
                  </w:r>
                </w:p>
              </w:tc>
              <w:tc>
                <w:tcPr>
                  <w:tcW w:w="83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szt.</w:t>
                  </w:r>
                </w:p>
              </w:tc>
              <w:tc>
                <w:tcPr>
                  <w:tcW w:w="1151"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1</w:t>
                  </w:r>
                </w:p>
              </w:tc>
              <w:tc>
                <w:tcPr>
                  <w:tcW w:w="127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07.2021</w:t>
                  </w:r>
                </w:p>
              </w:tc>
              <w:tc>
                <w:tcPr>
                  <w:tcW w:w="1417"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1</w:t>
                  </w:r>
                </w:p>
              </w:tc>
            </w:tr>
            <w:tr>
              <w:trPr/>
              <w:tc>
                <w:tcPr>
                  <w:tcW w:w="1837" w:type="dxa"/>
                  <w:tcBorders/>
                  <w:shd w:color="auto" w:fill="auto" w:val="clear"/>
                </w:tcPr>
                <w:p>
                  <w:pPr>
                    <w:pStyle w:val="Normal"/>
                    <w:widowControl/>
                    <w:spacing w:lineRule="auto" w:line="240" w:before="0" w:after="0"/>
                    <w:jc w:val="left"/>
                    <w:rPr>
                      <w:rFonts w:cs="Calibri" w:cstheme="minorHAnsi"/>
                      <w:color w:val="0070C0"/>
                      <w:sz w:val="20"/>
                      <w:szCs w:val="20"/>
                      <w:lang w:eastAsia="pl-PL"/>
                    </w:rPr>
                  </w:pPr>
                  <w:r>
                    <w:rPr>
                      <w:rFonts w:eastAsia="Calibri" w:cs="Calibri" w:cstheme="minorHAnsi"/>
                      <w:kern w:val="0"/>
                      <w:sz w:val="20"/>
                      <w:szCs w:val="20"/>
                      <w:lang w:val="pl-PL" w:eastAsia="en-US" w:bidi="ar-SA"/>
                    </w:rPr>
                    <w:t>5. Wskaźnik kluczowy (obligatoryjny) –wskaźnik rezultatu bezpośredniego: Liczba pobrań/ odtworzeń dokumentów zawierających informacje sektora publicznego.</w:t>
                  </w:r>
                </w:p>
              </w:tc>
              <w:tc>
                <w:tcPr>
                  <w:tcW w:w="836" w:type="dxa"/>
                  <w:tcBorders/>
                  <w:shd w:color="auto" w:fill="auto" w:val="clear"/>
                </w:tcPr>
                <w:p>
                  <w:pPr>
                    <w:pStyle w:val="NormalWeb"/>
                    <w:widowControl/>
                    <w:spacing w:lineRule="auto" w:line="240" w:before="0" w:after="0"/>
                    <w:jc w:val="left"/>
                    <w:rPr>
                      <w:rFonts w:ascii="Calibri" w:hAnsi="Calibri" w:cs="Calibri" w:asciiTheme="minorHAnsi" w:cstheme="minorHAnsi" w:hAnsiTheme="minorHAnsi"/>
                      <w:sz w:val="20"/>
                      <w:szCs w:val="20"/>
                    </w:rPr>
                  </w:pPr>
                  <w:r>
                    <w:rPr>
                      <w:rFonts w:cs="Calibri" w:ascii="Calibri" w:hAnsi="Calibri" w:asciiTheme="minorHAnsi" w:cstheme="minorHAnsi" w:hAnsiTheme="minorHAnsi"/>
                      <w:kern w:val="0"/>
                      <w:sz w:val="20"/>
                      <w:szCs w:val="20"/>
                      <w:lang w:val="pl-PL" w:bidi="ar-SA"/>
                    </w:rPr>
                    <w:t>szt./rok</w:t>
                  </w:r>
                </w:p>
                <w:p>
                  <w:pPr>
                    <w:pStyle w:val="Normal"/>
                    <w:widowControl/>
                    <w:spacing w:lineRule="auto" w:line="240" w:before="0" w:after="0"/>
                    <w:jc w:val="left"/>
                    <w:rPr>
                      <w:rFonts w:cs="Calibri" w:cstheme="minorHAnsi"/>
                      <w:color w:val="0070C0"/>
                      <w:sz w:val="20"/>
                      <w:szCs w:val="20"/>
                    </w:rPr>
                  </w:pPr>
                  <w:r>
                    <w:rPr>
                      <w:rFonts w:eastAsia="Calibri" w:cs="Calibri" w:cstheme="minorHAnsi"/>
                      <w:color w:val="0070C0"/>
                      <w:kern w:val="0"/>
                      <w:sz w:val="22"/>
                      <w:szCs w:val="22"/>
                      <w:lang w:val="pl-PL" w:eastAsia="en-US" w:bidi="ar-SA"/>
                    </w:rPr>
                  </w:r>
                </w:p>
              </w:tc>
              <w:tc>
                <w:tcPr>
                  <w:tcW w:w="1151"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 xml:space="preserve">129.000,00 </w:t>
                  </w:r>
                </w:p>
              </w:tc>
              <w:tc>
                <w:tcPr>
                  <w:tcW w:w="1276" w:type="dxa"/>
                  <w:tcBorders/>
                  <w:shd w:color="auto" w:fill="auto" w:val="clear"/>
                </w:tcPr>
                <w:p>
                  <w:pPr>
                    <w:pStyle w:val="NormalWeb"/>
                    <w:widowControl/>
                    <w:spacing w:lineRule="auto" w:line="240" w:before="0" w:after="0"/>
                    <w:jc w:val="left"/>
                    <w:rPr>
                      <w:rFonts w:ascii="Calibri" w:hAnsi="Calibri" w:cs="Calibri" w:asciiTheme="minorHAnsi" w:cstheme="minorHAnsi" w:hAnsiTheme="minorHAnsi"/>
                      <w:sz w:val="20"/>
                      <w:szCs w:val="20"/>
                    </w:rPr>
                  </w:pPr>
                  <w:r>
                    <w:rPr>
                      <w:rFonts w:cs="Calibri" w:ascii="Calibri" w:hAnsi="Calibri" w:asciiTheme="minorHAnsi" w:cstheme="minorHAnsi" w:hAnsiTheme="minorHAnsi"/>
                      <w:kern w:val="0"/>
                      <w:sz w:val="20"/>
                      <w:szCs w:val="20"/>
                      <w:lang w:val="pl-PL" w:bidi="ar-SA"/>
                    </w:rPr>
                    <w:t>07.2022</w:t>
                  </w:r>
                </w:p>
                <w:p>
                  <w:pPr>
                    <w:pStyle w:val="Normal"/>
                    <w:widowControl/>
                    <w:spacing w:lineRule="auto" w:line="240" w:before="0" w:after="0"/>
                    <w:jc w:val="left"/>
                    <w:rPr>
                      <w:rFonts w:cs="Calibri" w:cstheme="minorHAnsi"/>
                      <w:color w:val="0070C0"/>
                      <w:sz w:val="20"/>
                      <w:szCs w:val="20"/>
                    </w:rPr>
                  </w:pPr>
                  <w:r>
                    <w:rPr>
                      <w:rFonts w:eastAsia="Calibri" w:cs="Calibri" w:cstheme="minorHAnsi"/>
                      <w:color w:val="0070C0"/>
                      <w:kern w:val="0"/>
                      <w:sz w:val="22"/>
                      <w:szCs w:val="22"/>
                      <w:lang w:val="pl-PL" w:eastAsia="en-US" w:bidi="ar-SA"/>
                    </w:rPr>
                  </w:r>
                </w:p>
              </w:tc>
              <w:tc>
                <w:tcPr>
                  <w:tcW w:w="1417" w:type="dxa"/>
                  <w:tcBorders/>
                  <w:shd w:color="auto" w:fill="auto" w:val="clear"/>
                </w:tcPr>
                <w:p>
                  <w:pPr>
                    <w:pStyle w:val="NormalWeb"/>
                    <w:widowControl/>
                    <w:spacing w:lineRule="auto" w:line="240" w:before="0" w:after="0"/>
                    <w:jc w:val="left"/>
                    <w:rPr>
                      <w:rFonts w:ascii="Calibri" w:hAnsi="Calibri" w:cs="" w:asciiTheme="minorHAnsi" w:cstheme="minorBidi" w:hAnsiTheme="minorHAnsi"/>
                      <w:sz w:val="20"/>
                      <w:szCs w:val="20"/>
                    </w:rPr>
                  </w:pPr>
                  <w:r>
                    <w:rPr>
                      <w:rFonts w:cs="" w:ascii="Calibri" w:hAnsi="Calibri" w:asciiTheme="minorHAnsi" w:cstheme="minorBidi" w:hAnsiTheme="minorHAnsi"/>
                      <w:kern w:val="0"/>
                      <w:sz w:val="20"/>
                      <w:szCs w:val="20"/>
                      <w:lang w:val="pl-PL" w:bidi="ar-SA"/>
                    </w:rPr>
                    <w:t>303.258,00</w:t>
                  </w:r>
                </w:p>
                <w:p>
                  <w:pPr>
                    <w:pStyle w:val="Normal"/>
                    <w:widowControl/>
                    <w:spacing w:lineRule="auto" w:line="240" w:before="0" w:after="0"/>
                    <w:jc w:val="left"/>
                    <w:rPr>
                      <w:rFonts w:cs="Calibri" w:cstheme="minorHAnsi"/>
                      <w:color w:val="0070C0"/>
                      <w:sz w:val="20"/>
                      <w:szCs w:val="20"/>
                    </w:rPr>
                  </w:pPr>
                  <w:r>
                    <w:rPr>
                      <w:rFonts w:eastAsia="Calibri" w:cs="Calibri" w:cstheme="minorHAnsi"/>
                      <w:color w:val="0070C0"/>
                      <w:kern w:val="0"/>
                      <w:sz w:val="22"/>
                      <w:szCs w:val="22"/>
                      <w:lang w:val="pl-PL" w:eastAsia="en-US" w:bidi="ar-SA"/>
                    </w:rPr>
                  </w:r>
                </w:p>
              </w:tc>
            </w:tr>
            <w:tr>
              <w:trPr/>
              <w:tc>
                <w:tcPr>
                  <w:tcW w:w="1837" w:type="dxa"/>
                  <w:tcBorders/>
                  <w:shd w:color="auto" w:fill="auto" w:val="clear"/>
                </w:tcPr>
                <w:p>
                  <w:pPr>
                    <w:pStyle w:val="Normal"/>
                    <w:widowControl/>
                    <w:spacing w:lineRule="auto" w:line="240" w:before="0" w:after="0"/>
                    <w:jc w:val="left"/>
                    <w:rPr>
                      <w:rFonts w:cs="Calibri" w:cstheme="minorHAnsi"/>
                      <w:color w:val="0070C0"/>
                      <w:sz w:val="20"/>
                      <w:szCs w:val="20"/>
                      <w:lang w:eastAsia="pl-PL"/>
                    </w:rPr>
                  </w:pPr>
                  <w:r>
                    <w:rPr>
                      <w:rFonts w:eastAsia="Calibri" w:cs="Calibri" w:cstheme="minorHAnsi"/>
                      <w:kern w:val="0"/>
                      <w:sz w:val="20"/>
                      <w:szCs w:val="20"/>
                      <w:lang w:val="pl-PL" w:eastAsia="en-US" w:bidi="ar-SA"/>
                    </w:rPr>
                    <w:t>6. Wskaźnik specyficzny dla programu (adekwatny do projektu) – wskaźnik produktu: Rozmiar zdigitalizowanej informacji sektora publicznego.</w:t>
                  </w:r>
                </w:p>
              </w:tc>
              <w:tc>
                <w:tcPr>
                  <w:tcW w:w="83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TB</w:t>
                  </w:r>
                </w:p>
              </w:tc>
              <w:tc>
                <w:tcPr>
                  <w:tcW w:w="1151"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5,09</w:t>
                  </w:r>
                </w:p>
              </w:tc>
              <w:tc>
                <w:tcPr>
                  <w:tcW w:w="1276" w:type="dxa"/>
                  <w:tcBorders/>
                  <w:shd w:color="auto" w:fill="auto" w:val="clear"/>
                </w:tcPr>
                <w:p>
                  <w:pPr>
                    <w:pStyle w:val="Normal"/>
                    <w:widowControl/>
                    <w:spacing w:lineRule="auto" w:line="240" w:before="0" w:after="0"/>
                    <w:jc w:val="left"/>
                    <w:rPr>
                      <w:rFonts w:cs="Calibri" w:cstheme="minorHAnsi"/>
                      <w:color w:val="0070C0"/>
                      <w:sz w:val="20"/>
                      <w:szCs w:val="20"/>
                    </w:rPr>
                  </w:pPr>
                  <w:r>
                    <w:rPr>
                      <w:rFonts w:eastAsia="Calibri" w:cs="Calibri" w:cstheme="minorHAnsi"/>
                      <w:kern w:val="0"/>
                      <w:sz w:val="20"/>
                      <w:szCs w:val="20"/>
                      <w:lang w:val="pl-PL" w:eastAsia="en-US" w:bidi="ar-SA"/>
                    </w:rPr>
                    <w:t>07.2021</w:t>
                  </w:r>
                </w:p>
              </w:tc>
              <w:tc>
                <w:tcPr>
                  <w:tcW w:w="1417" w:type="dxa"/>
                  <w:tcBorders/>
                  <w:shd w:color="auto" w:fill="auto" w:val="clear"/>
                </w:tcPr>
                <w:p>
                  <w:pPr>
                    <w:pStyle w:val="Normal"/>
                    <w:widowControl/>
                    <w:spacing w:lineRule="auto" w:line="240" w:before="0" w:after="0"/>
                    <w:jc w:val="left"/>
                    <w:rPr>
                      <w:sz w:val="20"/>
                      <w:szCs w:val="20"/>
                    </w:rPr>
                  </w:pPr>
                  <w:r>
                    <w:rPr>
                      <w:rFonts w:eastAsia="Calibri" w:cs="Calibri" w:cstheme="minorHAnsi"/>
                      <w:kern w:val="0"/>
                      <w:sz w:val="20"/>
                      <w:szCs w:val="20"/>
                      <w:lang w:val="pl-PL" w:eastAsia="en-US" w:bidi="ar-SA"/>
                    </w:rPr>
                    <w:t>27,65</w:t>
                  </w:r>
                </w:p>
              </w:tc>
            </w:tr>
            <w:tr>
              <w:trPr/>
              <w:tc>
                <w:tcPr>
                  <w:tcW w:w="1837" w:type="dxa"/>
                  <w:tcBorders/>
                  <w:shd w:color="auto" w:fill="auto" w:val="clear"/>
                </w:tcPr>
                <w:p>
                  <w:pPr>
                    <w:pStyle w:val="Normal"/>
                    <w:widowControl/>
                    <w:spacing w:lineRule="auto" w:line="240" w:before="0" w:after="0"/>
                    <w:jc w:val="left"/>
                    <w:rPr>
                      <w:rFonts w:ascii="Arial" w:hAnsi="Arial" w:cs="Arial"/>
                      <w:color w:val="0070C0"/>
                      <w:sz w:val="20"/>
                      <w:szCs w:val="20"/>
                      <w:lang w:eastAsia="pl-PL"/>
                    </w:rPr>
                  </w:pPr>
                  <w:r>
                    <w:rPr>
                      <w:rFonts w:eastAsia="Calibri"/>
                      <w:kern w:val="0"/>
                      <w:sz w:val="20"/>
                      <w:szCs w:val="20"/>
                      <w:lang w:val="pl-PL" w:eastAsia="en-US" w:bidi="ar-SA"/>
                    </w:rPr>
                    <w:t>7. Wskaźnik specyficzny dla programu (adekwatny do projektu) – wskaźnik produktu: Rozmiar udostępnionych on-line informacji sektora publicznego.</w:t>
                  </w:r>
                </w:p>
              </w:tc>
              <w:tc>
                <w:tcPr>
                  <w:tcW w:w="836" w:type="dxa"/>
                  <w:tcBorders/>
                  <w:shd w:color="auto" w:fill="auto" w:val="clear"/>
                </w:tcPr>
                <w:p>
                  <w:pPr>
                    <w:pStyle w:val="Normal"/>
                    <w:widowControl/>
                    <w:spacing w:lineRule="auto" w:line="240" w:before="0" w:after="0"/>
                    <w:jc w:val="left"/>
                    <w:rPr>
                      <w:rFonts w:ascii="Arial" w:hAnsi="Arial" w:cs="Arial"/>
                      <w:color w:val="0070C0"/>
                      <w:sz w:val="20"/>
                      <w:szCs w:val="20"/>
                    </w:rPr>
                  </w:pPr>
                  <w:r>
                    <w:rPr>
                      <w:rFonts w:eastAsia="Calibri"/>
                      <w:kern w:val="0"/>
                      <w:sz w:val="20"/>
                      <w:szCs w:val="20"/>
                      <w:lang w:val="pl-PL" w:eastAsia="en-US" w:bidi="ar-SA"/>
                    </w:rPr>
                    <w:t>TB</w:t>
                  </w:r>
                </w:p>
              </w:tc>
              <w:tc>
                <w:tcPr>
                  <w:tcW w:w="1151" w:type="dxa"/>
                  <w:tcBorders/>
                  <w:shd w:color="auto" w:fill="auto" w:val="clear"/>
                </w:tcPr>
                <w:p>
                  <w:pPr>
                    <w:pStyle w:val="Normal"/>
                    <w:widowControl/>
                    <w:spacing w:lineRule="auto" w:line="240" w:before="0" w:after="0"/>
                    <w:jc w:val="left"/>
                    <w:rPr>
                      <w:rFonts w:ascii="Arial" w:hAnsi="Arial" w:cs="Arial"/>
                      <w:color w:val="0070C0"/>
                      <w:sz w:val="20"/>
                      <w:szCs w:val="20"/>
                    </w:rPr>
                  </w:pPr>
                  <w:r>
                    <w:rPr>
                      <w:rFonts w:eastAsia="Calibri"/>
                      <w:kern w:val="0"/>
                      <w:sz w:val="20"/>
                      <w:szCs w:val="20"/>
                      <w:lang w:val="pl-PL" w:eastAsia="en-US" w:bidi="ar-SA"/>
                    </w:rPr>
                    <w:t xml:space="preserve">0,01 </w:t>
                  </w:r>
                </w:p>
              </w:tc>
              <w:tc>
                <w:tcPr>
                  <w:tcW w:w="1276" w:type="dxa"/>
                  <w:tcBorders/>
                  <w:shd w:color="auto" w:fill="auto" w:val="clear"/>
                </w:tcPr>
                <w:p>
                  <w:pPr>
                    <w:pStyle w:val="Normal"/>
                    <w:widowControl/>
                    <w:spacing w:lineRule="auto" w:line="240" w:before="0" w:after="0"/>
                    <w:jc w:val="left"/>
                    <w:rPr>
                      <w:rFonts w:ascii="Arial" w:hAnsi="Arial" w:cs="Arial"/>
                      <w:color w:val="0070C0"/>
                      <w:sz w:val="20"/>
                      <w:szCs w:val="20"/>
                    </w:rPr>
                  </w:pPr>
                  <w:r>
                    <w:rPr>
                      <w:rFonts w:eastAsia="Calibri"/>
                      <w:kern w:val="0"/>
                      <w:sz w:val="20"/>
                      <w:szCs w:val="20"/>
                      <w:lang w:val="pl-PL" w:eastAsia="en-US" w:bidi="ar-SA"/>
                    </w:rPr>
                    <w:t>07.2021</w:t>
                  </w:r>
                </w:p>
              </w:tc>
              <w:tc>
                <w:tcPr>
                  <w:tcW w:w="1417" w:type="dxa"/>
                  <w:tcBorders/>
                  <w:shd w:color="auto" w:fill="auto" w:val="clear"/>
                </w:tcPr>
                <w:p>
                  <w:pPr>
                    <w:pStyle w:val="Normal"/>
                    <w:widowControl/>
                    <w:spacing w:lineRule="auto" w:line="240" w:before="0" w:after="0"/>
                    <w:jc w:val="left"/>
                    <w:rPr>
                      <w:sz w:val="20"/>
                      <w:szCs w:val="20"/>
                    </w:rPr>
                  </w:pPr>
                  <w:r>
                    <w:rPr>
                      <w:rFonts w:eastAsia="Calibri" w:cs=""/>
                      <w:kern w:val="0"/>
                      <w:sz w:val="20"/>
                      <w:szCs w:val="20"/>
                      <w:lang w:val="pl-PL" w:eastAsia="en-US" w:bidi="ar-SA"/>
                    </w:rPr>
                    <w:t>0,38</w:t>
                  </w:r>
                </w:p>
              </w:tc>
            </w:tr>
            <w:tr>
              <w:trPr/>
              <w:tc>
                <w:tcPr>
                  <w:tcW w:w="1837" w:type="dxa"/>
                  <w:tcBorders/>
                  <w:shd w:color="auto" w:fill="auto" w:val="clear"/>
                </w:tcPr>
                <w:p>
                  <w:pPr>
                    <w:pStyle w:val="Normal"/>
                    <w:widowControl/>
                    <w:spacing w:lineRule="auto" w:line="240" w:before="0" w:after="0"/>
                    <w:jc w:val="left"/>
                    <w:rPr>
                      <w:rFonts w:ascii="Arial" w:hAnsi="Arial" w:cs="Arial"/>
                      <w:color w:val="0070C0"/>
                      <w:sz w:val="20"/>
                      <w:szCs w:val="20"/>
                      <w:lang w:eastAsia="pl-PL"/>
                    </w:rPr>
                  </w:pPr>
                  <w:r>
                    <w:rPr>
                      <w:rFonts w:eastAsia="Calibri"/>
                      <w:kern w:val="0"/>
                      <w:sz w:val="20"/>
                      <w:szCs w:val="20"/>
                      <w:lang w:val="pl-PL" w:eastAsia="en-US" w:bidi="ar-SA"/>
                    </w:rPr>
                    <w:t>8. Wskaźnik specyficzny dla programu (adekwatny do projektu) – wskaźnik rezultatu bezpośredniego: Liczba pobrań/ odtworzeń unikatowych 11 srebrnych opraw książkowych.</w:t>
                  </w:r>
                </w:p>
              </w:tc>
              <w:tc>
                <w:tcPr>
                  <w:tcW w:w="836" w:type="dxa"/>
                  <w:tcBorders/>
                  <w:shd w:color="auto" w:fill="auto" w:val="clear"/>
                </w:tcPr>
                <w:p>
                  <w:pPr>
                    <w:pStyle w:val="Normal"/>
                    <w:widowControl/>
                    <w:spacing w:lineRule="auto" w:line="240" w:before="0" w:after="0"/>
                    <w:jc w:val="left"/>
                    <w:rPr>
                      <w:rFonts w:ascii="Arial" w:hAnsi="Arial" w:cs="Arial"/>
                      <w:color w:val="0070C0"/>
                      <w:sz w:val="20"/>
                      <w:szCs w:val="20"/>
                    </w:rPr>
                  </w:pPr>
                  <w:r>
                    <w:rPr>
                      <w:rFonts w:eastAsia="Calibri"/>
                      <w:kern w:val="0"/>
                      <w:sz w:val="20"/>
                      <w:szCs w:val="20"/>
                      <w:lang w:val="pl-PL" w:eastAsia="en-US" w:bidi="ar-SA"/>
                    </w:rPr>
                    <w:t>szt.</w:t>
                  </w:r>
                </w:p>
              </w:tc>
              <w:tc>
                <w:tcPr>
                  <w:tcW w:w="1151" w:type="dxa"/>
                  <w:tcBorders/>
                  <w:shd w:color="auto" w:fill="auto" w:val="clear"/>
                </w:tcPr>
                <w:p>
                  <w:pPr>
                    <w:pStyle w:val="Normal"/>
                    <w:widowControl/>
                    <w:spacing w:lineRule="auto" w:line="240" w:before="0" w:after="0"/>
                    <w:jc w:val="left"/>
                    <w:rPr>
                      <w:rFonts w:ascii="Arial" w:hAnsi="Arial" w:cs="Arial"/>
                      <w:color w:val="0070C0"/>
                      <w:sz w:val="20"/>
                      <w:szCs w:val="20"/>
                    </w:rPr>
                  </w:pPr>
                  <w:r>
                    <w:rPr>
                      <w:rFonts w:eastAsia="Calibri"/>
                      <w:kern w:val="0"/>
                      <w:sz w:val="20"/>
                      <w:szCs w:val="20"/>
                      <w:lang w:val="pl-PL" w:eastAsia="en-US" w:bidi="ar-SA"/>
                    </w:rPr>
                    <w:t>385,00</w:t>
                  </w:r>
                </w:p>
              </w:tc>
              <w:tc>
                <w:tcPr>
                  <w:tcW w:w="1276" w:type="dxa"/>
                  <w:tcBorders/>
                  <w:shd w:color="auto" w:fill="auto" w:val="clear"/>
                </w:tcPr>
                <w:p>
                  <w:pPr>
                    <w:pStyle w:val="Normal"/>
                    <w:widowControl/>
                    <w:spacing w:lineRule="auto" w:line="240" w:before="0" w:after="0"/>
                    <w:jc w:val="left"/>
                    <w:rPr>
                      <w:rFonts w:ascii="Arial" w:hAnsi="Arial" w:cs="Arial"/>
                      <w:color w:val="0070C0"/>
                      <w:sz w:val="20"/>
                      <w:szCs w:val="20"/>
                    </w:rPr>
                  </w:pPr>
                  <w:r>
                    <w:rPr>
                      <w:rFonts w:eastAsia="Calibri"/>
                      <w:kern w:val="0"/>
                      <w:sz w:val="20"/>
                      <w:szCs w:val="20"/>
                      <w:lang w:val="pl-PL" w:eastAsia="en-US" w:bidi="ar-SA"/>
                    </w:rPr>
                    <w:t>07.2022</w:t>
                  </w:r>
                </w:p>
              </w:tc>
              <w:tc>
                <w:tcPr>
                  <w:tcW w:w="1417" w:type="dxa"/>
                  <w:tcBorders/>
                  <w:shd w:color="auto" w:fill="auto" w:val="clear"/>
                </w:tcPr>
                <w:p>
                  <w:pPr>
                    <w:pStyle w:val="Normal"/>
                    <w:widowControl/>
                    <w:spacing w:lineRule="auto" w:line="240" w:before="0" w:after="0"/>
                    <w:jc w:val="left"/>
                    <w:rPr>
                      <w:sz w:val="20"/>
                      <w:szCs w:val="20"/>
                    </w:rPr>
                  </w:pPr>
                  <w:r>
                    <w:rPr>
                      <w:rFonts w:eastAsia="Calibri" w:cs=""/>
                      <w:kern w:val="0"/>
                      <w:sz w:val="20"/>
                      <w:szCs w:val="20"/>
                      <w:lang w:val="pl-PL" w:eastAsia="en-US" w:bidi="ar-SA"/>
                    </w:rPr>
                    <w:t>298,00</w:t>
                  </w:r>
                </w:p>
                <w:p>
                  <w:pPr>
                    <w:pStyle w:val="Normal"/>
                    <w:widowControl/>
                    <w:spacing w:lineRule="auto" w:line="240" w:before="0" w:after="0"/>
                    <w:jc w:val="left"/>
                    <w:rPr>
                      <w:sz w:val="20"/>
                      <w:szCs w:val="20"/>
                    </w:rPr>
                  </w:pPr>
                  <w:r>
                    <w:rPr>
                      <w:rFonts w:eastAsia="Calibri" w:cs=""/>
                      <w:kern w:val="0"/>
                      <w:sz w:val="20"/>
                      <w:szCs w:val="20"/>
                      <w:lang w:val="pl-PL" w:eastAsia="en-US" w:bidi="ar-SA"/>
                    </w:rPr>
                    <w:t>(Uwaga: zgodnie z projektem wskaźnik ten ma być osiągnięty 12 miesięcy po zakończeniu projektu)</w:t>
                  </w:r>
                </w:p>
                <w:p>
                  <w:pPr>
                    <w:pStyle w:val="Normal"/>
                    <w:widowControl/>
                    <w:spacing w:lineRule="auto" w:line="240" w:before="0" w:after="0"/>
                    <w:jc w:val="left"/>
                    <w:rPr>
                      <w:sz w:val="20"/>
                      <w:szCs w:val="20"/>
                    </w:rPr>
                  </w:pPr>
                  <w:r>
                    <w:rPr>
                      <w:rFonts w:eastAsia="Calibri" w:cs=""/>
                      <w:kern w:val="0"/>
                      <w:sz w:val="22"/>
                      <w:szCs w:val="22"/>
                      <w:lang w:val="pl-PL" w:eastAsia="en-US" w:bidi="ar-SA"/>
                    </w:rPr>
                  </w:r>
                </w:p>
                <w:p>
                  <w:pPr>
                    <w:pStyle w:val="Normal"/>
                    <w:widowControl/>
                    <w:spacing w:lineRule="auto" w:line="240" w:before="0" w:after="0"/>
                    <w:jc w:val="left"/>
                    <w:rPr>
                      <w:rFonts w:ascii="Arial" w:hAnsi="Arial" w:cs="Arial"/>
                      <w:color w:val="0070C0"/>
                      <w:sz w:val="20"/>
                      <w:szCs w:val="20"/>
                    </w:rPr>
                  </w:pPr>
                  <w:r>
                    <w:rPr>
                      <w:rFonts w:eastAsia="Calibri" w:cs="Arial" w:ascii="Arial" w:hAnsi="Arial"/>
                      <w:color w:val="0070C0"/>
                      <w:kern w:val="0"/>
                      <w:sz w:val="22"/>
                      <w:szCs w:val="22"/>
                      <w:lang w:val="pl-PL" w:eastAsia="en-US" w:bidi="ar-SA"/>
                    </w:rPr>
                  </w:r>
                </w:p>
              </w:tc>
            </w:tr>
          </w:tbl>
          <w:p>
            <w:pPr>
              <w:pStyle w:val="Normal"/>
              <w:widowControl w:val="false"/>
              <w:rPr/>
            </w:pPr>
            <w:r>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Celem projektu było zwiększenie powszechnego dostępu do wysokiej jakości informacji sektora publicznego ze źródeł nauki pozostających w dyspozycji Uniwersytetu Mikołaja Kopernika w Toruniu i Uniwersytetu Kazimierza Wielkiego w Bydgoszczy oraz bibliotek współpracujących, a także umożliwienie ich ponownego wykorzystania, poprzez poszerzenie otwartej naukowej bazy źródłowej o 28000 obiektów cyfrowych i 15000 nowych elektronicznych rekordów egzemplarzy opisów</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bibliograficznych. Bazy te są dostępna bez barier w Internecie. Dostęp do obiektów nie jest już ograniczony do miejsca ich przechowywania. Nastąpił również ogólny wzrost kompetencji informatycznej i technologicznej pracowników realizujących projekt, którzy musieli poznać nowe narzędzia i metody, zoptymalizować sposób pracy. Przeprowadzone zadania posłużyły i służą rozwojowi społeczeństwa informacyjnego-obywatelskiego, które otrzymało bezpłatny dostęp do zasobów nauki zgodnie z zasadą budowania przyjaznych relacji między państwem a obywatelem. Realizacja celów projektu pozwoliła na powszechny i szybki dostęp do źródeł o szerokim znaczeniu wszystkim zainteresowanym, w tym osobom niepełnosprawnym, w dogodnym czasie, bez konieczności ponoszenia kosztów na dotarcie do miejsc przechowywania.</w:t>
            </w:r>
          </w:p>
          <w:p>
            <w:pPr>
              <w:pStyle w:val="Normal"/>
              <w:widowControl/>
              <w:spacing w:lineRule="auto" w:line="256" w:before="0" w:after="0"/>
              <w:jc w:val="both"/>
              <w:rPr>
                <w:rFonts w:ascii="Arial" w:hAnsi="Arial" w:eastAsia="Arial" w:cs="Arial"/>
                <w:sz w:val="20"/>
                <w:szCs w:val="20"/>
              </w:rPr>
            </w:pPr>
            <w:r>
              <w:rPr>
                <w:rFonts w:eastAsia="Arial" w:cs="Arial" w:ascii="Arial" w:hAnsi="Arial"/>
                <w:kern w:val="0"/>
                <w:sz w:val="20"/>
                <w:szCs w:val="20"/>
                <w:lang w:val="pl-PL" w:eastAsia="en-US" w:bidi="ar-SA"/>
              </w:rPr>
              <w:t>Pomiar kluczowego wskaźnika rezultatu bezpośredniego „Liczba pobrań/odtworzeń dokumentów zawierających informacje sektora publicznego” oraz specyficzny wskaźnik rezultatu bezpośredniego „Liczba pobrań/odtworzeń unikatowych 11 srebrnych opraw książkowych” uzyskiwany jest na podstawie danych z systemu informatycznego platformy Kujawsko-Pomorskiej Biblioteki Cyfrowej oraz platformy Repozytorium UKW i dostępny na bieżąco na wymienionych platformach. Dodatkowo przygotowano ankietę, która nie stanowi wskaźnika projektu, ale jest mechanizmem badającym zadowolenie internautów w zakresie użyteczności zamieszczanych treści, czyli materiałów bibliotecznych - zasobów nauki. Ankieta zawiera pytania dotyczące ogólnej oceny bazy, łatwości znalezienia informacji, istnieje również możliwość wskazania uwag oraz potrzeb w zakresie udostępnianych zasobów. Ankieta ta służąca badaniu satysfakcji pozwoli w sposób ciągły udoskonalać posiadaną cyfrową bazę biblioteczną.</w:t>
            </w:r>
          </w:p>
          <w:p>
            <w:pPr>
              <w:pStyle w:val="Normal"/>
              <w:widowControl/>
              <w:spacing w:lineRule="auto" w:line="256"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56" w:before="0" w:after="0"/>
              <w:jc w:val="both"/>
              <w:rPr>
                <w:rFonts w:ascii="Arial" w:hAnsi="Arial" w:eastAsia="Arial" w:cs="Arial"/>
                <w:sz w:val="20"/>
                <w:szCs w:val="20"/>
              </w:rPr>
            </w:pPr>
            <w:r>
              <w:rPr>
                <w:rFonts w:eastAsia="Arial" w:cs="Arial" w:ascii="Arial" w:hAnsi="Arial"/>
                <w:kern w:val="0"/>
                <w:sz w:val="20"/>
                <w:szCs w:val="20"/>
                <w:lang w:val="pl-PL" w:eastAsia="en-US" w:bidi="ar-SA"/>
              </w:rPr>
              <w:t>Informacje o wskaźnikach i osiągniętych wartościach dostępne są na stronach Kujawsko-Pomorskiej Biblioteki Cyfrowej w zakładce poświęconej projektowi https://kpbc.umk.pl/dlibra/text?id=popc-info</w:t>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Ryzyka i problemy</w:t>
            </w:r>
          </w:p>
        </w:tc>
        <w:tc>
          <w:tcPr>
            <w:tcW w:w="7231" w:type="dxa"/>
            <w:tcBorders/>
          </w:tcPr>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Najważniejsze ryzyka i problemy projektowe: Wybuch pandemii oraz praca w trybie zdalnym i hybrydowym, bardzo duże obciążenie pracowników zadaniami związanymi z merytoryczną i administracyjną realizacja projektu, równoczesna realizacja kilku projektów w tym wprowadzenie nowego systemu bibliotecznego, obowiązujące procedury przetargowe. Problemy sprzętowe (np. usterki) były rozwiązywane na bieżące w ramach wkładu własnego, zadania chorych pracowników przejmowali pozostali współpracowników, część zadań merytorycznych została przerwana na 1-2 miesiące, co spowodowało przesunięcie kamieni milowych, ale nie wpłynęło na terminowe zakończenie całego projektu. Niezwykle rozbudowana część administracyjna projektu oraz niefortunnie skonstruowane forma protokołów przysparzała wszystkim pracownikom niepotrzebnej pracy. Zaangażowanie pracowników pozwoliło na wykonanie wszystkich zadań i terminowe zakończenie projektu.</w:t>
            </w:r>
          </w:p>
          <w:p>
            <w:pPr>
              <w:pStyle w:val="Normal"/>
              <w:widowControl/>
              <w:spacing w:lineRule="auto" w:line="240" w:before="0" w:after="0"/>
              <w:jc w:val="both"/>
              <w:rPr>
                <w:rFonts w:ascii="Arial" w:hAnsi="Arial" w:eastAsia="Arial" w:cs="Arial"/>
                <w:i/>
                <w:i/>
                <w:iCs/>
                <w:sz w:val="18"/>
                <w:szCs w:val="18"/>
              </w:rPr>
            </w:pPr>
            <w:r>
              <w:rPr>
                <w:rFonts w:eastAsia="Arial" w:cs="Arial" w:ascii="Arial" w:hAnsi="Arial"/>
                <w:i/>
                <w:iCs/>
                <w:kern w:val="0"/>
                <w:sz w:val="22"/>
                <w:szCs w:val="22"/>
                <w:lang w:val="pl-PL" w:eastAsia="en-US" w:bidi="ar-SA"/>
              </w:rPr>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 xml:space="preserve">Uzyskane korzyści </w:t>
            </w:r>
          </w:p>
        </w:tc>
        <w:tc>
          <w:tcPr>
            <w:tcW w:w="7231" w:type="dxa"/>
            <w:tcBorders/>
          </w:tcPr>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Projekt zrealizował potrzebę szerokiego dostępu do zasobów nauki i kultury, które pozostawały pod opieka uczelni i bibliotek współpracujących. Ucyfrowione zbiory są często unikalne, a ich stan zachowania uniemożliwiał dostęp do nich szerokiemu gronu odbiorców. Ich selekcja nastąpiła po ocenie merytorycznej bibliotekarzy jak i wielu zgłaszanych potrzebach czytelników. Obiekty są powiązane z priorytetem państwa nazwanym „Humanistyka cyfrowa” i celami projektu, który jest realizowany w Polsce przez konsorcjum DARIAH.EU. UMK jest członkiem tego konsorcjum. E-zasoby będą mogły być wykorzystywane do dalszego wnioskowania, dyskusji, statystyk czy pomiarów i nowych prac naukowych w zakresie humanistyki i sztuki.</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 </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Zwiększyła się znacząco dostępność zbiorów i opisów bibliograficznych poprzez likwidację ograniczeń przestrzennych i czasowych. Beneficjent i Partner to dwie największe uczelnie regionu. Obie uczelnie obsługuje rocznie kilkadziesiąt tysięcy czytelników również osoby spoza swojej społeczności akademickiej. Dzięki bezpłatnemu udostępnieniu materiałów bibliotecznych - zasobów nauki ze zbiorów będzie mogła korzystać każda zainteresowana osoba oraz wiele innych podmiotów, w tym: wydawcy, producenci filmowi, twórcy, nauczyciele, firmy reklamowe, firmy prywatne, którzy przez swoje działania promują naukę. Powyższe dotyczy bez ograniczeń użytkowników w Polsce jak i zagranicą.</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 </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Digitalizacja i upowszechnienie 28000 obiektów pozwoliło również na zabezpieczenie źródeł przed ich destrukcją, która może się pojawić w wyniku ich częstego wypożyczania. W rezultacie powszechnie dostępne są obiekty, do których dostęp mieli często tylko specjaliści z danej dziedziny nauki.</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Nastąpiło poszerzenie dostępu do informacji naukowej w postaci elektronicznej oraz przyspieszenie wyszukiwania informacji o zasobach bibliotecznych poprzez zrealizowanie zad. Retrokonwersja i udostępnienie w otwartym Internecie 15 000 rekordów egzemplarzy opisów bibliograficznych zasobów bibliotecznych, które nie były dostępne do tej pory w postaci elektronicznej. Udostępnienie łącznie 43 000 nowych dokumentów w otwartym Internecie służy celom naukowym, badawczym, dydaktycznym, poznawczym, kulturowym i informacyjnym - kompetencyjny.</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 xml:space="preserve">Naukowcy poszerzają zakresy badań, ponieważ dotrą do ukrytych w magazynach źródeł. Wydawcy otrzymali dostęp do nowych materiałów przydatnych do oryginalnych edycji. Elektroniczne metadane opisujące ucyfrowione obiekty pozwolą użytkownikom przeprowadzać kwerendy i analizy badawcze. Naukowcy i nauczyciele mogą wzbogacać swoje materiały edukacyjne o nowe treści i metody pracy (e-learning, e-laboratoria), studenci i uczniowie mają dostęp do nowych cyfrowych treści kształcenia, co pozwoli im nie tylko zaoszczędzić czas na poszukiwania lektury, ale i zmienić metody pracy, zwiększyć swoje kompetencje informacyjne, fachowe i technologiczne. Ekonomiczna korzyść przejawia się w tym, iż dzięki zabezpieczeniu materiałów bibliotecznych zaoszczędzony został czas pracy bibliotekarzy przeznaczony na zarządzanie kolekcjami (wypożyczanie, porządkowanie, czyszczenie, konserwacja itp.), czas czytelników, którzy nie będą musieli przychodzić do bibliotek, zamawiać i oczekiwać na udostępnienie, fotografować obiekty na użytek własny itd. Wydawcy i twórcy otrzymali bezpłatnie gotowy produkt do wykorzystania w produkcji wydawniczej czy wystawienniczej. Usługodawcy mogą poszerzać zakres swoich usług i podnieść ich jakość przez wykorzystanie darmowego zasobu cyfrowego; telewizja, radio i inne mass media dostały szybki dostęp do wysokiej jakości informacji (map, książek, artykułów, pocztówek, zdjęć,) gotowej do użycia. Każdy ucyfrowiony obiekt udostępniony jest bez opłat wszystkim zainteresowanym. Żaden użytkownik nie ponosi kosztów za korzystanie z materiałów bibliotecznych przekształconych w zasoby elektroniczne. Przekłada się to często na dary dla bibliotek w postaci wydrukowanych książek od wydawców, od osób prywatnych, którzy otrzymali pliki lub widzą wagę upowszechniania zasobów. Biblioteki poszerzają swój analogowy zasób poprzez realizację tzw. filozofii dzielenia się darami, która ma ogromne znaczenie społeczne. Tym samym poszerza kolekcje własnych materiałów bibliotecznych o kolejne nabytki. Dzięki tym działaniom oraz promocji projektu poszerza się świadomość obywateli Polski o możliwości bezpłatnego korzystania z domeny publicznej. </w:t>
            </w:r>
            <w:r>
              <w:rPr>
                <w:rFonts w:cs="Arial" w:ascii="Arial" w:hAnsi="Arial"/>
                <w:kern w:val="0"/>
                <w:sz w:val="22"/>
                <w:szCs w:val="22"/>
                <w:lang w:val="pl-PL" w:eastAsia="en-US" w:bidi="ar-SA"/>
              </w:rPr>
              <w:b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Pomiar wykorzystania produktów projektu, czyli upowszechnionych zasobów nauki, odbywa się na bieżąco poprzez zliczanie liczby wejść/odtworzeń poszczególnych e-zasobów. Informacje te dostępne są bez ograniczeń za pośrednictwem platformy Kujawsko-Pomorskiej Biblioteki cyfrowej w zakładce Program Operacyjny Polska Cyfrowa. Na bieżąco działa e-mailowa i telefoniczna pomoc użytkownikom oraz przygotowano ankietę dla internautów co jest jednocześnie pośrednią miara użyteczności zbiorów i ich popularności, której nie uwzględniają statystyki.</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E-usługi i rejestry z jakimi zintegrował się wytworzony system w ramach realizacji projektu</w:t>
            </w:r>
          </w:p>
        </w:tc>
        <w:tc>
          <w:tcPr>
            <w:tcW w:w="7231" w:type="dxa"/>
            <w:tcBorders/>
          </w:tcPr>
          <w:p>
            <w:pPr>
              <w:pStyle w:val="Normal"/>
              <w:widowControl/>
              <w:spacing w:lineRule="auto" w:line="240" w:before="0" w:after="0"/>
              <w:jc w:val="left"/>
              <w:rPr>
                <w:rFonts w:ascii="Arial" w:hAnsi="Arial" w:cs="Arial"/>
                <w:sz w:val="20"/>
                <w:szCs w:val="20"/>
              </w:rPr>
            </w:pPr>
            <w:r>
              <w:rPr>
                <w:rFonts w:eastAsia="Calibri" w:cs="Arial" w:ascii="Arial" w:hAnsi="Arial"/>
                <w:kern w:val="0"/>
                <w:sz w:val="20"/>
                <w:szCs w:val="20"/>
                <w:lang w:val="pl-PL" w:eastAsia="en-US" w:bidi="ar-SA"/>
              </w:rPr>
              <w:t>Zasoby nauki upowszechnione w Kujawsko-Pomorskiej Bibliotece Cyfrowej (KPBC) w ramach projektu widoczne są dla użytkowników nowego systemu bibliotecznego (wprowadzonego w ramach projektu POWER w UMK). KPBC należy do ogólnopolskiej Federacji Bibliotek Cyfrowych (FBC-(fbc.pionier.net.pl)). Zgodnie z założeniem projektu materiały biblioteczne KPBC przekazywane są automatycznie do Federacji Bibliotek Cyfrowych, BASE – Bielefeld Academic Search Engine, które indeksują metadane zasobów naukowych, a dalej poprzez FBC trafiają do agregatorów światowych: Europeana, Google, Google Scholar. Lider podpisał umowę z Fundacją Nowoczesna Polska dotyczącą realizacji zadania "Wolne Lektury - biblioteka dla wszystkich". Przygotowane materiały biblioteczne są gotowe do agregowania i wykorzystania w projektach i portalach Wikipedia, BazHum, projekcie CLARIN, europejskiej bazie OrphanWorks, Wolne Lektury. Ponad 15 000 rekordów egzemplarzy opisów bibliograficznych wykonanych w ramach zad.5 Retrokonwersja została przesłana do katalogu zbiorów polskich bibliotek naukowych NUKAT (nukat.edu.pl) a za ich pośrednictwem do światowego katalogu WorldCat (worldcat.org). Ponad 10 000 spośród tych rekordów połączone zostało z katalogami Biblioteki Narodowej w ramach wspólnego systemu katalogowania.</w:t>
            </w:r>
          </w:p>
          <w:p>
            <w:pPr>
              <w:pStyle w:val="Normal"/>
              <w:widowControl/>
              <w:spacing w:lineRule="auto" w:line="240" w:before="0" w:after="0"/>
              <w:jc w:val="left"/>
              <w:rPr>
                <w:rFonts w:ascii="Arial" w:hAnsi="Arial" w:eastAsia="Arial" w:cs="Arial"/>
                <w:sz w:val="20"/>
                <w:szCs w:val="20"/>
              </w:rPr>
            </w:pPr>
            <w:r>
              <w:rPr>
                <w:rFonts w:eastAsia="Arial" w:cs="Arial" w:ascii="Arial" w:hAnsi="Arial"/>
                <w:kern w:val="0"/>
                <w:sz w:val="20"/>
                <w:szCs w:val="20"/>
                <w:lang w:val="pl-PL" w:eastAsia="en-US" w:bidi="ar-SA"/>
              </w:rPr>
              <w:t>Projekt jest komplementarny z projektem KRONIK@-Krajowe Repozytorium Obiektów Nauki i Kultury, ponieważ wyniki naszego projektu są dostępne w całości jako wysokiej jakości ucyfrowione materiały biblioteczne oraz metadane typu DublinCore a oprogramowanie udostępnia otwarte interfejsy dla programistów.</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Zapewnienie utrzymania projektu (w okresie trwałości)</w:t>
            </w:r>
          </w:p>
        </w:tc>
        <w:tc>
          <w:tcPr>
            <w:tcW w:w="7231" w:type="dxa"/>
            <w:tcBorders/>
          </w:tcPr>
          <w:p>
            <w:pPr>
              <w:pStyle w:val="Normal"/>
              <w:widowControl/>
              <w:spacing w:lineRule="auto" w:line="240" w:before="0" w:after="0"/>
              <w:jc w:val="both"/>
              <w:rPr>
                <w:rFonts w:ascii="Arial" w:hAnsi="Arial" w:cs="Arial"/>
                <w:sz w:val="20"/>
                <w:szCs w:val="20"/>
              </w:rPr>
            </w:pPr>
            <w:r>
              <w:rPr>
                <w:rFonts w:eastAsia="Calibri" w:cs="Arial" w:ascii="Arial" w:hAnsi="Arial"/>
                <w:kern w:val="0"/>
                <w:sz w:val="20"/>
                <w:szCs w:val="20"/>
                <w:lang w:val="pl-PL" w:eastAsia="en-US" w:bidi="ar-SA"/>
              </w:rPr>
              <w:t>Środki na utrzymanie projektu w okresie trwałości są zabezpieczone w budżecie Lidera i Partnera i to Lidera i Partner będą utrzymywać finansowanie produktów projektu w okresie trwałości ze środków własnych.</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Projekt ma przede wszystkim charakter społeczny, przez co cechuje się znaczną trwałością. Utrzymanie projektu w okresie trwałości jest zagwarantowane poprzez trwałość organizacyjną, techniczną i kadrową Lidera i Partnera, jako uczelni publicznych. Uzyskane rezultaty zostają w dyspozycji Biblioteki Uniwersyteckiej UMK w Toruniu oraz Biblioteki UKW w Bydgoszczy, zaś nabyte składniki majątkowe trwale weszły w strukturę organizacyjną obu jednostek na okres nie krótszy niż pięć lat od momentu całkowitego ukończenia Projektu. UMK i UKW są jednostkami sektora finansów publicznych i posiadają zdolność finansową do pokrycia kosztów związanych z utrzymaniem i rozwojem udostępnianych zasobów i infrastruktury. Stabilna sytuacja finansowa obu uczelni gwarantuje trwałość i utrzymanie projektu przez okres minimum 5 lat od zakończenia jego realizacji. Wystarczalność własnych zasobów gwarantuje pokrycie wszystkich wydatków na przestrzeni całego okresu odniesienia.</w:t>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2"/>
                <w:szCs w:val="22"/>
                <w:lang w:val="pl-PL" w:eastAsia="en-US" w:bidi="ar-SA"/>
              </w:rPr>
            </w:r>
          </w:p>
          <w:p>
            <w:pPr>
              <w:pStyle w:val="Normal"/>
              <w:widowControl/>
              <w:spacing w:lineRule="auto" w:line="240" w:before="0" w:after="0"/>
              <w:jc w:val="both"/>
              <w:rPr>
                <w:rFonts w:ascii="Arial" w:hAnsi="Arial" w:eastAsia="Arial" w:cs="Arial"/>
                <w:sz w:val="20"/>
                <w:szCs w:val="20"/>
              </w:rPr>
            </w:pPr>
            <w:r>
              <w:rPr>
                <w:rFonts w:eastAsia="Arial" w:cs="Arial" w:ascii="Arial" w:hAnsi="Arial"/>
                <w:kern w:val="0"/>
                <w:sz w:val="20"/>
                <w:szCs w:val="20"/>
                <w:lang w:val="pl-PL" w:eastAsia="en-US" w:bidi="ar-SA"/>
              </w:rPr>
              <w:t>Podstawową infrastrukturę teleinformatyczną dla materiałów bibliotecznych - zasobów nauki upowszechnionych w Kujawko-Pomorskiej Bibliotece Cyfrowej zapewnia Beneficjent poprzez Uczelniane Centrum Informatyczne UMK. Pliki archiwizowane są w Krajowym Magazynie Danych w ramach naukowej sieci PIONIER oraz na dyskach obu Uczelni. Informacje dotyczące rekordów egzemplarzy opisów bibliograficznych przechowywane są za pośrednictwem systemów bibliotecznych obu uczelni w systemie Horizon i Alma.</w:t>
            </w:r>
          </w:p>
          <w:p>
            <w:pPr>
              <w:pStyle w:val="Normal"/>
              <w:widowControl/>
              <w:spacing w:lineRule="auto" w:line="240" w:before="0" w:after="0"/>
              <w:jc w:val="both"/>
              <w:rPr>
                <w:rFonts w:ascii="Arial" w:hAnsi="Arial" w:cs="Arial"/>
                <w:i/>
                <w:i/>
                <w:iCs/>
                <w:sz w:val="18"/>
                <w:szCs w:val="18"/>
              </w:rPr>
            </w:pPr>
            <w:r>
              <w:rPr>
                <w:rFonts w:eastAsia="Calibri" w:cs="Arial" w:ascii="Arial" w:hAnsi="Arial"/>
                <w:i/>
                <w:iCs/>
                <w:kern w:val="0"/>
                <w:sz w:val="22"/>
                <w:szCs w:val="22"/>
                <w:lang w:val="pl-PL" w:eastAsia="en-US" w:bidi="ar-SA"/>
              </w:rPr>
            </w:r>
          </w:p>
        </w:tc>
      </w:tr>
      <w:tr>
        <w:trPr/>
        <w:tc>
          <w:tcPr>
            <w:tcW w:w="507" w:type="dxa"/>
            <w:tcBorders/>
          </w:tcPr>
          <w:p>
            <w:pPr>
              <w:pStyle w:val="ListParagraph"/>
              <w:widowControl/>
              <w:numPr>
                <w:ilvl w:val="0"/>
                <w:numId w:val="1"/>
              </w:numPr>
              <w:spacing w:lineRule="auto" w:line="240" w:before="0" w:after="0"/>
              <w:contextualSpacing/>
              <w:jc w:val="left"/>
              <w:rPr>
                <w:rFonts w:ascii="Arial" w:hAnsi="Arial" w:cs="Arial"/>
                <w:sz w:val="18"/>
                <w:szCs w:val="20"/>
              </w:rPr>
            </w:pPr>
            <w:r>
              <w:rPr>
                <w:rFonts w:eastAsia="Calibri" w:cs="Arial" w:ascii="Arial" w:hAnsi="Arial"/>
                <w:kern w:val="0"/>
                <w:sz w:val="22"/>
                <w:szCs w:val="22"/>
                <w:lang w:val="pl-PL" w:eastAsia="en-US" w:bidi="ar-SA"/>
              </w:rPr>
            </w:r>
          </w:p>
        </w:tc>
        <w:tc>
          <w:tcPr>
            <w:tcW w:w="1896" w:type="dxa"/>
            <w:tcBorders/>
          </w:tcPr>
          <w:p>
            <w:pPr>
              <w:pStyle w:val="Normal"/>
              <w:widowControl/>
              <w:spacing w:lineRule="auto" w:line="240" w:before="0" w:after="0"/>
              <w:jc w:val="left"/>
              <w:rPr>
                <w:rFonts w:ascii="Arial" w:hAnsi="Arial" w:cs="Arial"/>
                <w:sz w:val="18"/>
                <w:szCs w:val="20"/>
              </w:rPr>
            </w:pPr>
            <w:r>
              <w:rPr>
                <w:rFonts w:eastAsia="Calibri" w:cs="Arial" w:ascii="Arial" w:hAnsi="Arial"/>
                <w:kern w:val="0"/>
                <w:sz w:val="18"/>
                <w:szCs w:val="20"/>
                <w:lang w:val="pl-PL" w:eastAsia="en-US" w:bidi="ar-SA"/>
              </w:rPr>
              <w:t>Doświadczenia związane z realizacją projektu</w:t>
            </w:r>
          </w:p>
        </w:tc>
        <w:tc>
          <w:tcPr>
            <w:tcW w:w="7231" w:type="dxa"/>
            <w:tcBorders/>
          </w:tcPr>
          <w:p>
            <w:pPr>
              <w:pStyle w:val="Normal"/>
              <w:widowControl/>
              <w:spacing w:lineRule="auto" w:line="256" w:before="0" w:after="0"/>
              <w:jc w:val="both"/>
              <w:rPr>
                <w:rFonts w:ascii="Arial" w:hAnsi="Arial" w:eastAsia="Arial" w:cs="Arial"/>
                <w:sz w:val="20"/>
                <w:szCs w:val="20"/>
              </w:rPr>
            </w:pPr>
            <w:r>
              <w:rPr>
                <w:rFonts w:eastAsia="Arial" w:cs="Arial" w:ascii="Arial" w:hAnsi="Arial"/>
                <w:kern w:val="0"/>
                <w:sz w:val="20"/>
                <w:szCs w:val="20"/>
                <w:lang w:val="pl-PL" w:eastAsia="en-US" w:bidi="ar-SA"/>
              </w:rPr>
              <w:t>Największym wyzwaniem było prowadzenie projektu w okresie pandemii, która była przyczyną licznych perturbacji i konieczności wielokrotnego analizowania zmiennej sytuacji w każdym podejmowanym zadaniu. Pracownicy merytoryczni oraz administracyjni byli mocno obciążeni zadaniami tego projektu, innych równoległych projektów i zadaniami statutowymi. Każda zmiana kadrowa wymagała bardzo dużej liczby dokumentów co jeszcze bardziej komplikowało i tak trudną sytuację. Nakładane administracyjne obowiązki stanowiły znaczący procent wszystkich działań w projekcie. Przykładem może być obowiązek administracyjny łączenia w jeden dokument wszystkich dodatków zadaniowych danego pracownika, co generowało dodatkową niepotrzebną pracę. Informacje o wszystkich dodatkach danego pracownika mogą zostać udzielone w każdej chwili na żądanie instytucji kontrolującej.</w:t>
            </w:r>
            <w:r>
              <w:rPr>
                <w:rFonts w:cs="Arial" w:ascii="Arial" w:hAnsi="Arial"/>
                <w:kern w:val="0"/>
                <w:sz w:val="22"/>
                <w:szCs w:val="22"/>
                <w:lang w:val="pl-PL" w:eastAsia="en-US" w:bidi="ar-SA"/>
              </w:rPr>
              <w:br/>
            </w:r>
            <w:r>
              <w:rPr>
                <w:rFonts w:eastAsia="Arial" w:cs="Arial" w:ascii="Arial" w:hAnsi="Arial"/>
                <w:kern w:val="0"/>
                <w:sz w:val="20"/>
                <w:szCs w:val="20"/>
                <w:lang w:val="pl-PL" w:eastAsia="en-US" w:bidi="ar-SA"/>
              </w:rPr>
              <w:t xml:space="preserve"> Pełne i terminowe ukończenie projektu jest przede wszystkim wynikiem ogromnego zaangażowania pracowników, wspólnego rozwiązywania problemów i współpracy na różnych szczeblach zaangażowanych w projekt jednostek i instytucji. Część administracyjna każdego projektu pozwala na uporządkowany przepływ pracy i sprawne realizowanie poszczególnych jego etapów, jednak, jeśli staje się zbyt rozbudowana, przestaje pełnić swoja rolę wspomagającą realizację. Ważne jest, aby wszystkie instancje nadrzędne (wewnętrzne i zewnętrzne) starały się wspomagać realizacje zadań, aby podejmowane przez nie decyzje lub ich brak nie opóźniały poszczególnych działań. Każdy projekt jest merytorycznie realizowany przez ludzi, którzy, aby działać efektywnie i z zaangażowaniem muszą widzieć, że działania administracyjne służą projektowi i realnie wspierają ich działania, które stanowią cel projektu.</w:t>
            </w:r>
          </w:p>
          <w:p>
            <w:pPr>
              <w:pStyle w:val="Normal"/>
              <w:widowControl/>
              <w:spacing w:lineRule="auto" w:line="240" w:before="0" w:after="0"/>
              <w:jc w:val="both"/>
              <w:rPr>
                <w:rFonts w:ascii="Arial" w:hAnsi="Arial" w:cs="Arial"/>
                <w:i/>
                <w:i/>
                <w:iCs/>
                <w:sz w:val="18"/>
                <w:szCs w:val="18"/>
              </w:rPr>
            </w:pPr>
            <w:r>
              <w:rPr>
                <w:rFonts w:eastAsia="Calibri" w:cs="Arial" w:ascii="Arial" w:hAnsi="Arial"/>
                <w:i/>
                <w:iCs/>
                <w:kern w:val="0"/>
                <w:sz w:val="22"/>
                <w:szCs w:val="22"/>
                <w:lang w:val="pl-PL" w:eastAsia="en-US" w:bidi="ar-SA"/>
              </w:rPr>
            </w:r>
          </w:p>
        </w:tc>
      </w:tr>
    </w:tbl>
    <w:p>
      <w:pPr>
        <w:pStyle w:val="Normal"/>
        <w:spacing w:before="0" w:after="160"/>
        <w:rPr>
          <w:rFonts w:ascii="Arial" w:hAnsi="Arial" w:cs="Arial"/>
        </w:rPr>
      </w:pPr>
      <w:r>
        <w:rPr/>
      </w:r>
    </w:p>
    <w:sectPr>
      <w:type w:val="nextPage"/>
      <w:pgSz w:w="11906" w:h="16838"/>
      <w:pgMar w:left="1417" w:right="1417" w:header="0" w:top="1560"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2">
    <w:name w:val="Heading 2"/>
    <w:basedOn w:val="Normal"/>
    <w:next w:val="Normal"/>
    <w:link w:val="Nagwek2Znak"/>
    <w:uiPriority w:val="9"/>
    <w:unhideWhenUsed/>
    <w:qFormat/>
    <w:rsid w:val="00853e08"/>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3">
    <w:name w:val="Heading 3"/>
    <w:basedOn w:val="Normal"/>
    <w:next w:val="Normal"/>
    <w:link w:val="Nagwek3Znak"/>
    <w:uiPriority w:val="9"/>
    <w:unhideWhenUsed/>
    <w:qFormat/>
    <w:rsid w:val="00853e08"/>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Tekstdymka"/>
    <w:uiPriority w:val="99"/>
    <w:semiHidden/>
    <w:qFormat/>
    <w:rsid w:val="004d135d"/>
    <w:rPr>
      <w:rFonts w:ascii="Times New Roman" w:hAnsi="Times New Roman" w:cs="Times New Roman"/>
      <w:sz w:val="18"/>
      <w:szCs w:val="18"/>
    </w:rPr>
  </w:style>
  <w:style w:type="character" w:styleId="Annotationreference">
    <w:name w:val="annotation reference"/>
    <w:basedOn w:val="DefaultParagraphFont"/>
    <w:uiPriority w:val="99"/>
    <w:semiHidden/>
    <w:unhideWhenUsed/>
    <w:qFormat/>
    <w:rsid w:val="00813fef"/>
    <w:rPr>
      <w:sz w:val="16"/>
      <w:szCs w:val="16"/>
    </w:rPr>
  </w:style>
  <w:style w:type="character" w:styleId="TekstkomentarzaZnak" w:customStyle="1">
    <w:name w:val="Tekst komentarza Znak"/>
    <w:basedOn w:val="DefaultParagraphFont"/>
    <w:link w:val="Tekstkomentarza"/>
    <w:uiPriority w:val="99"/>
    <w:semiHidden/>
    <w:qFormat/>
    <w:rsid w:val="00813fef"/>
    <w:rPr>
      <w:sz w:val="20"/>
      <w:szCs w:val="20"/>
    </w:rPr>
  </w:style>
  <w:style w:type="character" w:styleId="TekstpodstawowyZnak" w:customStyle="1">
    <w:name w:val="Tekst podstawowy Znak"/>
    <w:basedOn w:val="DefaultParagraphFont"/>
    <w:link w:val="Tekstpodstawowy"/>
    <w:qFormat/>
    <w:rsid w:val="008169f1"/>
    <w:rPr>
      <w:rFonts w:ascii="Calibri" w:hAnsi="Calibri" w:eastAsia="Calibri" w:cs="Calibri"/>
      <w:sz w:val="18"/>
      <w:szCs w:val="18"/>
    </w:rPr>
  </w:style>
  <w:style w:type="character" w:styleId="Other" w:customStyle="1">
    <w:name w:val="Other_"/>
    <w:basedOn w:val="DefaultParagraphFont"/>
    <w:link w:val="Other0"/>
    <w:qFormat/>
    <w:locked/>
    <w:rsid w:val="008169f1"/>
    <w:rPr>
      <w:rFonts w:ascii="Calibri" w:hAnsi="Calibri" w:eastAsia="Calibri" w:cs="Calibri"/>
      <w:sz w:val="18"/>
      <w:szCs w:val="18"/>
    </w:rPr>
  </w:style>
  <w:style w:type="character" w:styleId="TematkomentarzaZnak" w:customStyle="1">
    <w:name w:val="Temat komentarza Znak"/>
    <w:basedOn w:val="TekstkomentarzaZnak"/>
    <w:link w:val="Tematkomentarza"/>
    <w:uiPriority w:val="99"/>
    <w:semiHidden/>
    <w:qFormat/>
    <w:rsid w:val="008169f1"/>
    <w:rPr>
      <w:b/>
      <w:bCs/>
      <w:sz w:val="20"/>
      <w:szCs w:val="20"/>
    </w:rPr>
  </w:style>
  <w:style w:type="character" w:styleId="Tablecaption" w:customStyle="1">
    <w:name w:val="Table caption_"/>
    <w:basedOn w:val="DefaultParagraphFont"/>
    <w:link w:val="Tablecaption0"/>
    <w:qFormat/>
    <w:rsid w:val="00010c60"/>
    <w:rPr>
      <w:rFonts w:ascii="Calibri" w:hAnsi="Calibri" w:eastAsia="Calibri" w:cs="Calibri"/>
      <w:sz w:val="10"/>
      <w:szCs w:val="10"/>
    </w:rPr>
  </w:style>
  <w:style w:type="character" w:styleId="TekstprzypisudolnegoZnak" w:customStyle="1">
    <w:name w:val="Tekst przypisu dolnego Znak"/>
    <w:basedOn w:val="DefaultParagraphFont"/>
    <w:link w:val="Tekstprzypisudolnego"/>
    <w:uiPriority w:val="99"/>
    <w:semiHidden/>
    <w:qFormat/>
    <w:rsid w:val="009d6706"/>
    <w:rPr>
      <w:sz w:val="20"/>
      <w:szCs w:val="20"/>
    </w:rPr>
  </w:style>
  <w:style w:type="character" w:styleId="Zakotwiczenieprzypisudolnego" w:customStyle="1">
    <w:name w:val="Zakotwiczenie przypisu dolnego"/>
    <w:rsid w:val="009d6706"/>
    <w:rPr>
      <w:vertAlign w:val="superscript"/>
    </w:rPr>
  </w:style>
  <w:style w:type="character" w:styleId="Znakiprzypiswdolnych" w:customStyle="1">
    <w:name w:val="Znaki przypisów dolnych"/>
    <w:qFormat/>
    <w:rsid w:val="009d6706"/>
    <w:rPr/>
  </w:style>
  <w:style w:type="character" w:styleId="TekstprzypisudolnegoZnak1" w:customStyle="1">
    <w:name w:val="Tekst przypisu dolnego Znak1"/>
    <w:basedOn w:val="DefaultParagraphFont"/>
    <w:uiPriority w:val="99"/>
    <w:semiHidden/>
    <w:qFormat/>
    <w:rsid w:val="009d6706"/>
    <w:rPr>
      <w:sz w:val="20"/>
      <w:szCs w:val="20"/>
    </w:rPr>
  </w:style>
  <w:style w:type="character" w:styleId="Nagwek2Znak" w:customStyle="1">
    <w:name w:val="Nagłówek 2 Znak"/>
    <w:basedOn w:val="DefaultParagraphFont"/>
    <w:link w:val="Nagwek2"/>
    <w:uiPriority w:val="9"/>
    <w:qFormat/>
    <w:rsid w:val="00853e08"/>
    <w:rPr>
      <w:rFonts w:ascii="Calibri Light" w:hAnsi="Calibri Light" w:eastAsia="" w:cs="" w:asciiTheme="majorHAnsi" w:cstheme="majorBidi" w:eastAsiaTheme="majorEastAsia" w:hAnsiTheme="majorHAnsi"/>
      <w:color w:val="2E74B5" w:themeColor="accent1" w:themeShade="bf"/>
      <w:sz w:val="26"/>
      <w:szCs w:val="26"/>
    </w:rPr>
  </w:style>
  <w:style w:type="character" w:styleId="Nagwek3Znak" w:customStyle="1">
    <w:name w:val="Nagłówek 3 Znak"/>
    <w:basedOn w:val="DefaultParagraphFont"/>
    <w:link w:val="Nagwek3"/>
    <w:uiPriority w:val="9"/>
    <w:qFormat/>
    <w:rsid w:val="00853e08"/>
    <w:rPr>
      <w:rFonts w:ascii="Calibri Light" w:hAnsi="Calibri Light" w:eastAsia="" w:cs="" w:asciiTheme="majorHAnsi" w:cstheme="majorBidi" w:eastAsiaTheme="majorEastAsia" w:hAnsiTheme="majorHAnsi"/>
      <w:color w:val="1F4D78" w:themeColor="accent1" w:themeShade="7f"/>
      <w:sz w:val="24"/>
      <w:szCs w:val="24"/>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nhideWhenUsed/>
    <w:qFormat/>
    <w:rsid w:val="008169f1"/>
    <w:pPr>
      <w:widowControl w:val="false"/>
      <w:spacing w:lineRule="auto" w:line="240" w:before="0" w:after="0"/>
      <w:ind w:firstLine="20"/>
    </w:pPr>
    <w:rPr>
      <w:rFonts w:ascii="Calibri" w:hAnsi="Calibri" w:eastAsia="Calibri" w:cs="Calibri"/>
      <w:sz w:val="18"/>
      <w:szCs w:val="18"/>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7a0a3d"/>
    <w:pPr>
      <w:spacing w:before="0" w:after="160"/>
      <w:ind w:left="720" w:hanging="0"/>
      <w:contextualSpacing/>
    </w:pPr>
    <w:rPr/>
  </w:style>
  <w:style w:type="paragraph" w:styleId="BalloonText">
    <w:name w:val="Balloon Text"/>
    <w:basedOn w:val="Normal"/>
    <w:link w:val="TekstdymkaZnak"/>
    <w:uiPriority w:val="99"/>
    <w:semiHidden/>
    <w:unhideWhenUsed/>
    <w:qFormat/>
    <w:rsid w:val="004d135d"/>
    <w:pPr>
      <w:spacing w:lineRule="auto" w:line="240" w:before="0" w:after="0"/>
    </w:pPr>
    <w:rPr>
      <w:rFonts w:ascii="Times New Roman" w:hAnsi="Times New Roman" w:cs="Times New Roman"/>
      <w:sz w:val="18"/>
      <w:szCs w:val="18"/>
    </w:rPr>
  </w:style>
  <w:style w:type="paragraph" w:styleId="Annotationtext">
    <w:name w:val="annotation text"/>
    <w:basedOn w:val="Normal"/>
    <w:link w:val="TekstkomentarzaZnak"/>
    <w:uiPriority w:val="99"/>
    <w:semiHidden/>
    <w:unhideWhenUsed/>
    <w:qFormat/>
    <w:rsid w:val="00813fef"/>
    <w:pPr>
      <w:spacing w:lineRule="auto" w:line="240"/>
    </w:pPr>
    <w:rPr>
      <w:sz w:val="20"/>
      <w:szCs w:val="20"/>
    </w:rPr>
  </w:style>
  <w:style w:type="paragraph" w:styleId="Other1" w:customStyle="1">
    <w:name w:val="Other"/>
    <w:basedOn w:val="Normal"/>
    <w:link w:val="Other"/>
    <w:qFormat/>
    <w:rsid w:val="008169f1"/>
    <w:pPr>
      <w:widowControl w:val="false"/>
      <w:spacing w:lineRule="auto" w:line="240" w:before="0" w:after="0"/>
    </w:pPr>
    <w:rPr>
      <w:rFonts w:ascii="Calibri" w:hAnsi="Calibri" w:eastAsia="Calibri" w:cs="Calibri"/>
      <w:sz w:val="18"/>
      <w:szCs w:val="18"/>
    </w:rPr>
  </w:style>
  <w:style w:type="paragraph" w:styleId="Annotationsubject">
    <w:name w:val="annotation subject"/>
    <w:basedOn w:val="Annotationtext"/>
    <w:next w:val="Annotationtext"/>
    <w:link w:val="TematkomentarzaZnak"/>
    <w:uiPriority w:val="99"/>
    <w:semiHidden/>
    <w:unhideWhenUsed/>
    <w:qFormat/>
    <w:rsid w:val="008169f1"/>
    <w:pPr/>
    <w:rPr>
      <w:b/>
      <w:bCs/>
    </w:rPr>
  </w:style>
  <w:style w:type="paragraph" w:styleId="Tablecaption1" w:customStyle="1">
    <w:name w:val="Table caption"/>
    <w:basedOn w:val="Normal"/>
    <w:link w:val="Tablecaption"/>
    <w:qFormat/>
    <w:rsid w:val="00010c60"/>
    <w:pPr>
      <w:widowControl w:val="false"/>
      <w:spacing w:lineRule="auto" w:line="240" w:before="0" w:after="0"/>
    </w:pPr>
    <w:rPr>
      <w:rFonts w:ascii="Calibri" w:hAnsi="Calibri" w:eastAsia="Calibri" w:cs="Calibri"/>
      <w:sz w:val="10"/>
      <w:szCs w:val="10"/>
    </w:rPr>
  </w:style>
  <w:style w:type="paragraph" w:styleId="Przypisdolny">
    <w:name w:val="Footnote Text"/>
    <w:basedOn w:val="Normal"/>
    <w:link w:val="TekstprzypisudolnegoZnak"/>
    <w:uiPriority w:val="99"/>
    <w:semiHidden/>
    <w:unhideWhenUsed/>
    <w:rsid w:val="009d6706"/>
    <w:pPr>
      <w:spacing w:lineRule="auto" w:line="240" w:before="0" w:after="0"/>
    </w:pPr>
    <w:rPr>
      <w:sz w:val="20"/>
      <w:szCs w:val="20"/>
    </w:rPr>
  </w:style>
  <w:style w:type="paragraph" w:styleId="NormalWeb">
    <w:name w:val="Normal (Web)"/>
    <w:basedOn w:val="Normal"/>
    <w:uiPriority w:val="99"/>
    <w:unhideWhenUsed/>
    <w:qFormat/>
    <w:rsid w:val="009d6706"/>
    <w:pPr>
      <w:spacing w:beforeAutospacing="1" w:after="119"/>
    </w:pPr>
    <w:rPr>
      <w:rFonts w:ascii="Times New Roman" w:hAnsi="Times New Roman" w:eastAsia="Times New Roman" w:cs="Times New Roman"/>
      <w:color w:val="00000A"/>
      <w:sz w:val="24"/>
      <w:szCs w:val="24"/>
      <w:lang w:eastAsia="pl-PL"/>
    </w:rPr>
  </w:style>
  <w:style w:type="paragraph" w:styleId="Revision">
    <w:name w:val="Revision"/>
    <w:uiPriority w:val="99"/>
    <w:semiHidden/>
    <w:qFormat/>
    <w:rsid w:val="009d6706"/>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7a0a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4B702-1DDF-4C36-835B-8DF2B2D86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Application>LibreOffice/7.1.3.2$Windows_X86_64 LibreOffice_project/47f78053abe362b9384784d31a6e56f8511eb1c1</Application>
  <AppVersion>15.0000</AppVersion>
  <Pages>10</Pages>
  <Words>3045</Words>
  <Characters>22305</Characters>
  <CharactersWithSpaces>25077</CharactersWithSpaces>
  <Paragraphs>322</Paragraphs>
  <Company>MAiC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2021-10-06T08:28:00Z</dcterms:created>
  <dc:creator>Sankiewicz Szymon</dc:creator>
  <dc:description/>
  <dc:language>pl-PL</dc:language>
  <cp:lastModifiedBy/>
  <dcterms:modified xsi:type="dcterms:W3CDTF">2022-01-03T08:27:42Z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